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1000" w:lineRule="exact"/>
        <w:rPr>
          <w:rFonts w:eastAsia="文星简小标宋"/>
          <w:color w:val="FF0000"/>
          <w:spacing w:val="60"/>
          <w:w w:val="66"/>
          <w:sz w:val="112"/>
          <w:szCs w:val="112"/>
        </w:rPr>
      </w:pPr>
    </w:p>
    <w:p>
      <w:pPr>
        <w:adjustRightInd w:val="0"/>
        <w:spacing w:line="1000" w:lineRule="exact"/>
        <w:ind w:left="31680" w:leftChars="100" w:right="31680" w:rightChars="900"/>
        <w:jc w:val="distribute"/>
        <w:rPr>
          <w:rFonts w:ascii="方正小标宋简体" w:eastAsia="方正小标宋简体"/>
          <w:snapToGrid w:val="0"/>
          <w:color w:val="FF0000"/>
          <w:w w:val="50"/>
          <w:kern w:val="0"/>
          <w:sz w:val="96"/>
          <w:szCs w:val="96"/>
        </w:rPr>
      </w:pPr>
      <w:r>
        <w:rPr>
          <w:rFonts w:hint="eastAsia" w:ascii="方正小标宋简体" w:eastAsia="方正小标宋简体"/>
          <w:snapToGrid w:val="0"/>
          <w:color w:val="FF0000"/>
          <w:w w:val="50"/>
          <w:kern w:val="0"/>
          <w:sz w:val="96"/>
          <w:szCs w:val="96"/>
        </w:rPr>
        <w:t>天津市医疗保障局</w:t>
      </w:r>
      <w:r>
        <w:rPr>
          <w:rFonts w:ascii="方正小标宋简体" w:eastAsia="方正小标宋简体"/>
          <w:snapToGrid w:val="0"/>
          <w:color w:val="FF0000"/>
          <w:w w:val="50"/>
          <w:kern w:val="0"/>
          <w:sz w:val="96"/>
          <w:szCs w:val="96"/>
        </w:rPr>
        <w:t xml:space="preserve"> </w:t>
      </w:r>
    </w:p>
    <w:p>
      <w:pPr>
        <w:adjustRightInd w:val="0"/>
        <w:spacing w:line="1000" w:lineRule="exact"/>
        <w:ind w:left="31680" w:leftChars="100" w:right="31680" w:rightChars="900"/>
        <w:jc w:val="distribute"/>
        <w:rPr>
          <w:rFonts w:ascii="方正小标宋简体" w:eastAsia="方正小标宋简体"/>
          <w:snapToGrid w:val="0"/>
          <w:color w:val="FF0000"/>
          <w:w w:val="50"/>
          <w:sz w:val="96"/>
          <w:szCs w:val="96"/>
        </w:rPr>
      </w:pPr>
      <w:r>
        <w:rPr>
          <w:rFonts w:hint="eastAsia" w:ascii="方正小标宋简体" w:eastAsia="方正小标宋简体"/>
          <w:snapToGrid w:val="0"/>
          <w:color w:val="FF0000"/>
          <w:w w:val="50"/>
          <w:sz w:val="96"/>
          <w:szCs w:val="96"/>
        </w:rPr>
        <w:t>天津市财政局</w:t>
      </w:r>
      <w:r>
        <w:rPr>
          <w:rFonts w:ascii="方正小标宋简体" w:eastAsia="方正小标宋简体"/>
          <w:snapToGrid w:val="0"/>
          <w:color w:val="FF0000"/>
          <w:w w:val="50"/>
          <w:sz w:val="96"/>
          <w:szCs w:val="96"/>
        </w:rPr>
        <w:t xml:space="preserve"> </w:t>
      </w:r>
    </w:p>
    <w:p>
      <w:pPr>
        <w:adjustRightInd w:val="0"/>
        <w:spacing w:line="1000" w:lineRule="exact"/>
        <w:ind w:left="31680" w:leftChars="100" w:right="31680" w:rightChars="900"/>
        <w:jc w:val="distribute"/>
        <w:rPr>
          <w:rFonts w:ascii="方正小标宋简体" w:eastAsia="方正小标宋简体"/>
          <w:snapToGrid w:val="0"/>
          <w:color w:val="FF0000"/>
          <w:w w:val="50"/>
          <w:sz w:val="96"/>
          <w:szCs w:val="96"/>
        </w:rPr>
      </w:pPr>
      <w:r>
        <w:pict>
          <v:rect id="_x0000_s1031" o:spid="_x0000_s1031" o:spt="1" style="position:absolute;left:0pt;margin-left:357.45pt;margin-top:36.5pt;height:84pt;width:92.25pt;z-index:6144;mso-width-relative:page;mso-height-relative:page;" filled="f" stroked="f" coordsize="21600,21600">
            <v:path/>
            <v:fill on="f" focussize="0,0"/>
            <v:stroke on="f"/>
            <v:imagedata o:title=""/>
            <o:lock v:ext="edit"/>
            <v:textbox>
              <w:txbxContent>
                <w:p>
                  <w:pPr>
                    <w:spacing w:line="1400" w:lineRule="exact"/>
                    <w:rPr>
                      <w:rFonts w:ascii="方正小标宋简体" w:hAnsi="宋体" w:eastAsia="方正小标宋简体"/>
                      <w:color w:val="FF0000"/>
                      <w:spacing w:val="-40"/>
                      <w:sz w:val="120"/>
                      <w:szCs w:val="120"/>
                    </w:rPr>
                  </w:pPr>
                  <w:r>
                    <w:rPr>
                      <w:rFonts w:hint="eastAsia" w:ascii="方正小标宋简体" w:hAnsi="宋体" w:eastAsia="方正小标宋简体"/>
                      <w:bCs/>
                      <w:snapToGrid w:val="0"/>
                      <w:color w:val="FF0000"/>
                      <w:spacing w:val="-40"/>
                      <w:w w:val="70"/>
                      <w:kern w:val="0"/>
                      <w:sz w:val="120"/>
                      <w:szCs w:val="120"/>
                    </w:rPr>
                    <w:t>文</w:t>
                  </w:r>
                  <w:r>
                    <w:rPr>
                      <w:rFonts w:hint="eastAsia" w:ascii="方正小标宋简体" w:hAnsi="宋体" w:eastAsia="方正小标宋简体"/>
                      <w:bCs/>
                      <w:color w:val="FF0000"/>
                      <w:spacing w:val="-40"/>
                      <w:w w:val="70"/>
                      <w:sz w:val="120"/>
                      <w:szCs w:val="120"/>
                    </w:rPr>
                    <w:t>件</w:t>
                  </w:r>
                </w:p>
              </w:txbxContent>
            </v:textbox>
          </v:rect>
        </w:pict>
      </w:r>
      <w:r>
        <w:rPr>
          <w:rFonts w:hint="eastAsia" w:ascii="方正小标宋简体" w:eastAsia="方正小标宋简体"/>
          <w:snapToGrid w:val="0"/>
          <w:color w:val="FF0000"/>
          <w:w w:val="50"/>
          <w:sz w:val="96"/>
          <w:szCs w:val="96"/>
        </w:rPr>
        <w:t>天津市民政局</w:t>
      </w:r>
      <w:r>
        <w:rPr>
          <w:rFonts w:ascii="方正小标宋简体" w:eastAsia="方正小标宋简体"/>
          <w:snapToGrid w:val="0"/>
          <w:color w:val="FF0000"/>
          <w:w w:val="50"/>
          <w:sz w:val="96"/>
          <w:szCs w:val="96"/>
        </w:rPr>
        <w:t xml:space="preserve"> </w:t>
      </w:r>
    </w:p>
    <w:p>
      <w:pPr>
        <w:adjustRightInd w:val="0"/>
        <w:spacing w:line="1000" w:lineRule="exact"/>
        <w:ind w:left="31680" w:leftChars="100" w:right="31680" w:rightChars="900"/>
        <w:jc w:val="distribute"/>
        <w:rPr>
          <w:rFonts w:ascii="方正小标宋简体" w:eastAsia="方正小标宋简体"/>
          <w:snapToGrid w:val="0"/>
          <w:color w:val="FF0000"/>
          <w:w w:val="50"/>
          <w:sz w:val="96"/>
          <w:szCs w:val="96"/>
        </w:rPr>
      </w:pPr>
      <w:r>
        <w:rPr>
          <w:rFonts w:hint="eastAsia" w:ascii="方正小标宋简体" w:eastAsia="方正小标宋简体"/>
          <w:snapToGrid w:val="0"/>
          <w:color w:val="FF0000"/>
          <w:w w:val="50"/>
          <w:sz w:val="96"/>
          <w:szCs w:val="96"/>
        </w:rPr>
        <w:t>天津市卫生健康委员会</w:t>
      </w:r>
      <w:r>
        <w:rPr>
          <w:rFonts w:ascii="方正小标宋简体" w:eastAsia="方正小标宋简体"/>
          <w:snapToGrid w:val="0"/>
          <w:color w:val="FF0000"/>
          <w:w w:val="50"/>
          <w:sz w:val="96"/>
          <w:szCs w:val="96"/>
        </w:rPr>
        <w:t xml:space="preserve"> </w:t>
      </w:r>
    </w:p>
    <w:p>
      <w:pPr>
        <w:adjustRightInd w:val="0"/>
        <w:spacing w:line="1000" w:lineRule="exact"/>
        <w:ind w:left="31680" w:leftChars="100" w:right="31680" w:rightChars="900"/>
        <w:jc w:val="distribute"/>
        <w:rPr>
          <w:rFonts w:ascii="方正小标宋简体" w:eastAsia="方正小标宋简体"/>
          <w:snapToGrid w:val="0"/>
          <w:color w:val="FF0000"/>
          <w:w w:val="50"/>
          <w:sz w:val="96"/>
          <w:szCs w:val="96"/>
        </w:rPr>
      </w:pPr>
      <w:r>
        <w:rPr>
          <w:rFonts w:hint="eastAsia" w:ascii="方正小标宋简体" w:eastAsia="方正小标宋简体"/>
          <w:snapToGrid w:val="0"/>
          <w:color w:val="FF0000"/>
          <w:w w:val="50"/>
          <w:sz w:val="96"/>
          <w:szCs w:val="96"/>
        </w:rPr>
        <w:t>天津市人力资源和社会保障局</w:t>
      </w:r>
      <w:r>
        <w:rPr>
          <w:rFonts w:ascii="方正小标宋简体" w:eastAsia="方正小标宋简体"/>
          <w:snapToGrid w:val="0"/>
          <w:color w:val="FF0000"/>
          <w:w w:val="50"/>
          <w:sz w:val="96"/>
          <w:szCs w:val="96"/>
        </w:rPr>
        <w:t xml:space="preserve"> </w:t>
      </w:r>
    </w:p>
    <w:p>
      <w:pPr>
        <w:adjustRightInd w:val="0"/>
        <w:spacing w:line="1000" w:lineRule="exact"/>
        <w:ind w:left="31680" w:leftChars="100" w:right="31680" w:rightChars="900"/>
        <w:jc w:val="distribute"/>
        <w:rPr>
          <w:rFonts w:ascii="方正小标宋简体" w:eastAsia="方正小标宋简体"/>
          <w:snapToGrid w:val="0"/>
          <w:color w:val="FF0000"/>
          <w:w w:val="50"/>
          <w:sz w:val="96"/>
          <w:szCs w:val="96"/>
        </w:rPr>
      </w:pPr>
      <w:r>
        <w:rPr>
          <w:rFonts w:hint="eastAsia" w:ascii="方正小标宋简体" w:eastAsia="方正小标宋简体"/>
          <w:snapToGrid w:val="0"/>
          <w:color w:val="FF0000"/>
          <w:w w:val="50"/>
          <w:sz w:val="96"/>
          <w:szCs w:val="96"/>
        </w:rPr>
        <w:t>国家税务总局天津市税务局</w:t>
      </w:r>
      <w:r>
        <w:rPr>
          <w:rFonts w:ascii="方正小标宋简体" w:eastAsia="方正小标宋简体"/>
          <w:snapToGrid w:val="0"/>
          <w:color w:val="FF0000"/>
          <w:w w:val="50"/>
          <w:sz w:val="96"/>
          <w:szCs w:val="96"/>
        </w:rPr>
        <w:t xml:space="preserve"> </w:t>
      </w:r>
    </w:p>
    <w:p>
      <w:pPr>
        <w:adjustRightInd w:val="0"/>
        <w:spacing w:line="1000" w:lineRule="exact"/>
        <w:ind w:left="31680" w:leftChars="100" w:right="31680" w:rightChars="900"/>
        <w:jc w:val="distribute"/>
        <w:rPr>
          <w:rFonts w:ascii="方正小标宋简体" w:eastAsia="方正小标宋简体"/>
          <w:snapToGrid w:val="0"/>
          <w:color w:val="FF0000"/>
          <w:w w:val="33"/>
          <w:sz w:val="96"/>
          <w:szCs w:val="96"/>
        </w:rPr>
      </w:pPr>
      <w:r>
        <w:rPr>
          <w:rFonts w:hint="eastAsia" w:ascii="方正小标宋简体" w:eastAsia="方正小标宋简体"/>
          <w:snapToGrid w:val="0"/>
          <w:color w:val="FF0000"/>
          <w:w w:val="33"/>
          <w:sz w:val="96"/>
          <w:szCs w:val="96"/>
        </w:rPr>
        <w:t>中国银行保险监督管理委员会天津监管局</w:t>
      </w:r>
      <w:r>
        <w:rPr>
          <w:rFonts w:ascii="方正小标宋简体" w:eastAsia="方正小标宋简体"/>
          <w:snapToGrid w:val="0"/>
          <w:color w:val="FF0000"/>
          <w:w w:val="33"/>
          <w:sz w:val="96"/>
          <w:szCs w:val="96"/>
        </w:rPr>
        <w:t xml:space="preserve"> </w:t>
      </w:r>
    </w:p>
    <w:p>
      <w:pPr>
        <w:jc w:val="center"/>
        <w:rPr>
          <w:rFonts w:eastAsia="仿宋_GB2312"/>
          <w:color w:val="000000"/>
          <w:sz w:val="32"/>
          <w:szCs w:val="32"/>
        </w:rPr>
      </w:pPr>
    </w:p>
    <w:p>
      <w:pPr>
        <w:jc w:val="center"/>
        <w:rPr>
          <w:rFonts w:eastAsia="仿宋_GB2312"/>
          <w:color w:val="000000"/>
          <w:sz w:val="32"/>
          <w:szCs w:val="32"/>
        </w:rPr>
      </w:pPr>
      <w:r>
        <w:rPr>
          <w:rFonts w:hint="eastAsia" w:eastAsia="仿宋_GB2312"/>
          <w:color w:val="000000"/>
          <w:sz w:val="32"/>
          <w:szCs w:val="32"/>
        </w:rPr>
        <w:t>津医保规字〔</w:t>
      </w:r>
      <w:r>
        <w:rPr>
          <w:rFonts w:eastAsia="仿宋_GB2312"/>
          <w:color w:val="000000"/>
          <w:sz w:val="32"/>
          <w:szCs w:val="32"/>
        </w:rPr>
        <w:t>2021</w:t>
      </w:r>
      <w:r>
        <w:rPr>
          <w:rFonts w:hint="eastAsia" w:eastAsia="仿宋_GB2312"/>
          <w:color w:val="000000"/>
          <w:sz w:val="32"/>
          <w:szCs w:val="32"/>
        </w:rPr>
        <w:t>〕</w:t>
      </w:r>
      <w:r>
        <w:rPr>
          <w:rFonts w:eastAsia="仿宋_GB2312"/>
          <w:sz w:val="32"/>
          <w:szCs w:val="32"/>
        </w:rPr>
        <w:t>1</w:t>
      </w:r>
      <w:r>
        <w:rPr>
          <w:rFonts w:hint="eastAsia" w:eastAsia="仿宋_GB2312"/>
          <w:color w:val="000000"/>
          <w:sz w:val="32"/>
          <w:szCs w:val="32"/>
        </w:rPr>
        <w:t>号</w:t>
      </w:r>
    </w:p>
    <w:p>
      <w:pPr>
        <w:spacing w:line="600" w:lineRule="exact"/>
        <w:rPr>
          <w:sz w:val="32"/>
          <w:szCs w:val="32"/>
        </w:rPr>
      </w:pPr>
      <w:r>
        <w:pict>
          <v:line id="Line 43" o:spid="_x0000_s1027" o:spt="20" style="position:absolute;left:0pt;margin-left:-1.4pt;margin-top:11pt;height:0pt;width:445.05pt;z-index:251659264;mso-width-relative:page;mso-height-relative:page;" stroked="t" coordsize="21600,21600">
            <v:path arrowok="t"/>
            <v:fill focussize="0,0"/>
            <v:stroke weight="2pt" color="#FF0000"/>
            <v:imagedata o:title=""/>
            <o:lock v:ext="edit"/>
          </v:line>
        </w:pict>
      </w:r>
    </w:p>
    <w:p>
      <w:pPr>
        <w:spacing w:line="578"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市医保局等七部门关于印发《</w:t>
      </w:r>
      <w:r>
        <w:rPr>
          <w:rFonts w:ascii="方正小标宋简体" w:eastAsia="方正小标宋简体"/>
          <w:sz w:val="44"/>
          <w:szCs w:val="44"/>
        </w:rPr>
        <w:t>&lt;</w:t>
      </w:r>
      <w:r>
        <w:rPr>
          <w:rFonts w:hint="eastAsia" w:ascii="方正小标宋简体" w:hAnsi="Calibri" w:eastAsia="方正小标宋简体"/>
          <w:sz w:val="44"/>
          <w:szCs w:val="44"/>
        </w:rPr>
        <w:t>天津市长期护理保险制度试点实施方案</w:t>
      </w:r>
      <w:r>
        <w:rPr>
          <w:rFonts w:ascii="方正小标宋简体" w:eastAsia="方正小标宋简体"/>
          <w:sz w:val="44"/>
          <w:szCs w:val="44"/>
        </w:rPr>
        <w:t>&gt;</w:t>
      </w:r>
      <w:r>
        <w:rPr>
          <w:rFonts w:hint="eastAsia" w:ascii="方正小标宋简体" w:hAnsi="Calibri" w:eastAsia="方正小标宋简体"/>
          <w:sz w:val="44"/>
          <w:szCs w:val="44"/>
        </w:rPr>
        <w:t>实施细则</w:t>
      </w:r>
    </w:p>
    <w:p>
      <w:pPr>
        <w:spacing w:line="578" w:lineRule="exact"/>
        <w:jc w:val="center"/>
        <w:rPr>
          <w:rFonts w:ascii="方正小标宋简体" w:eastAsia="方正小标宋简体"/>
          <w:sz w:val="44"/>
          <w:szCs w:val="44"/>
        </w:rPr>
      </w:pPr>
      <w:r>
        <w:rPr>
          <w:rFonts w:hint="eastAsia" w:ascii="方正小标宋简体" w:hAnsi="Calibri" w:eastAsia="方正小标宋简体"/>
          <w:sz w:val="44"/>
          <w:szCs w:val="44"/>
        </w:rPr>
        <w:t>（试行）》的通知</w:t>
      </w:r>
    </w:p>
    <w:p>
      <w:pPr>
        <w:spacing w:line="578" w:lineRule="exact"/>
        <w:rPr>
          <w:rFonts w:eastAsia="方正小标宋简体"/>
          <w:sz w:val="44"/>
          <w:szCs w:val="44"/>
        </w:rPr>
      </w:pPr>
      <w:r>
        <w:rPr>
          <w:rFonts w:eastAsia="方正小标宋简体"/>
          <w:sz w:val="44"/>
          <w:szCs w:val="44"/>
        </w:rPr>
        <w:t xml:space="preserve"> </w:t>
      </w:r>
    </w:p>
    <w:p>
      <w:pPr>
        <w:spacing w:line="578" w:lineRule="exact"/>
        <w:rPr>
          <w:rFonts w:eastAsia="仿宋_GB2312"/>
          <w:sz w:val="32"/>
          <w:szCs w:val="32"/>
        </w:rPr>
      </w:pPr>
      <w:r>
        <w:rPr>
          <w:rFonts w:hint="eastAsia" w:eastAsia="仿宋_GB2312"/>
          <w:sz w:val="32"/>
          <w:szCs w:val="32"/>
        </w:rPr>
        <w:t>各区医保局、财政局、民政局、卫生健康委、人社局、税务局，各有关单位：</w:t>
      </w:r>
    </w:p>
    <w:p>
      <w:pPr>
        <w:spacing w:line="578" w:lineRule="exact"/>
        <w:ind w:firstLine="31680" w:firstLineChars="200"/>
        <w:rPr>
          <w:rFonts w:eastAsia="仿宋_GB2312"/>
          <w:sz w:val="32"/>
          <w:szCs w:val="32"/>
        </w:rPr>
      </w:pPr>
      <w:r>
        <w:rPr>
          <w:rFonts w:hint="eastAsia" w:eastAsia="仿宋_GB2312"/>
          <w:sz w:val="32"/>
          <w:szCs w:val="32"/>
        </w:rPr>
        <w:t>现将《</w:t>
      </w:r>
      <w:r>
        <w:rPr>
          <w:rFonts w:eastAsia="仿宋_GB2312"/>
          <w:sz w:val="32"/>
          <w:szCs w:val="32"/>
        </w:rPr>
        <w:t>&lt;</w:t>
      </w:r>
      <w:r>
        <w:rPr>
          <w:rFonts w:hint="eastAsia" w:eastAsia="仿宋_GB2312"/>
          <w:sz w:val="32"/>
          <w:szCs w:val="32"/>
        </w:rPr>
        <w:t>天津市长期护理保险制度试点实施方案</w:t>
      </w:r>
      <w:r>
        <w:rPr>
          <w:rFonts w:eastAsia="仿宋_GB2312"/>
          <w:sz w:val="32"/>
          <w:szCs w:val="32"/>
        </w:rPr>
        <w:t>&gt;</w:t>
      </w:r>
      <w:r>
        <w:rPr>
          <w:rFonts w:hint="eastAsia" w:eastAsia="仿宋_GB2312"/>
          <w:sz w:val="32"/>
          <w:szCs w:val="32"/>
        </w:rPr>
        <w:t>实施细则（试行）》印发给你们，请遵照执行。</w:t>
      </w:r>
    </w:p>
    <w:p>
      <w:pPr>
        <w:spacing w:line="578" w:lineRule="exact"/>
        <w:ind w:firstLine="31680" w:firstLineChars="200"/>
        <w:rPr>
          <w:rFonts w:eastAsia="仿宋_GB2312"/>
          <w:sz w:val="32"/>
          <w:szCs w:val="32"/>
        </w:rPr>
      </w:pPr>
      <w:r>
        <w:rPr>
          <w:rFonts w:eastAsia="仿宋_GB2312"/>
          <w:sz w:val="32"/>
          <w:szCs w:val="32"/>
        </w:rPr>
        <w:t xml:space="preserve"> </w:t>
      </w:r>
    </w:p>
    <w:p>
      <w:pPr>
        <w:spacing w:line="578" w:lineRule="exact"/>
        <w:ind w:firstLine="31680" w:firstLineChars="200"/>
        <w:rPr>
          <w:rFonts w:eastAsia="仿宋_GB2312"/>
          <w:sz w:val="32"/>
          <w:szCs w:val="32"/>
        </w:rPr>
      </w:pPr>
    </w:p>
    <w:p>
      <w:pPr>
        <w:spacing w:line="578" w:lineRule="exact"/>
        <w:ind w:firstLine="31680" w:firstLineChars="200"/>
        <w:rPr>
          <w:rFonts w:eastAsia="仿宋_GB2312"/>
          <w:sz w:val="32"/>
          <w:szCs w:val="32"/>
        </w:rPr>
      </w:pPr>
    </w:p>
    <w:p>
      <w:pPr>
        <w:spacing w:line="578" w:lineRule="exact"/>
        <w:ind w:firstLine="31680" w:firstLineChars="200"/>
        <w:rPr>
          <w:rFonts w:eastAsia="仿宋_GB2312"/>
          <w:sz w:val="32"/>
          <w:szCs w:val="32"/>
        </w:rPr>
      </w:pPr>
    </w:p>
    <w:p>
      <w:pPr>
        <w:spacing w:line="578" w:lineRule="exact"/>
        <w:jc w:val="center"/>
        <w:rPr>
          <w:rFonts w:eastAsia="仿宋_GB2312"/>
          <w:sz w:val="32"/>
          <w:szCs w:val="32"/>
        </w:rPr>
      </w:pPr>
      <w:r>
        <w:rPr>
          <w:rFonts w:hint="eastAsia" w:eastAsia="仿宋_GB2312"/>
          <w:sz w:val="32"/>
          <w:szCs w:val="32"/>
        </w:rPr>
        <w:t>市医保局</w:t>
      </w:r>
      <w:r>
        <w:rPr>
          <w:rFonts w:eastAsia="仿宋_GB2312"/>
          <w:sz w:val="32"/>
          <w:szCs w:val="32"/>
        </w:rPr>
        <w:t xml:space="preserve">            </w:t>
      </w:r>
      <w:r>
        <w:rPr>
          <w:rFonts w:hint="eastAsia" w:eastAsia="仿宋_GB2312"/>
          <w:sz w:val="32"/>
          <w:szCs w:val="32"/>
        </w:rPr>
        <w:t>市财政局</w:t>
      </w:r>
      <w:r>
        <w:rPr>
          <w:rFonts w:eastAsia="仿宋_GB2312"/>
          <w:sz w:val="32"/>
          <w:szCs w:val="32"/>
        </w:rPr>
        <w:t xml:space="preserve">           </w:t>
      </w:r>
      <w:r>
        <w:rPr>
          <w:rFonts w:hint="eastAsia" w:eastAsia="仿宋_GB2312"/>
          <w:sz w:val="32"/>
          <w:szCs w:val="32"/>
        </w:rPr>
        <w:t>市民政局</w:t>
      </w:r>
    </w:p>
    <w:p>
      <w:pPr>
        <w:spacing w:line="578" w:lineRule="exact"/>
        <w:jc w:val="center"/>
        <w:rPr>
          <w:rFonts w:eastAsia="仿宋_GB2312"/>
          <w:sz w:val="32"/>
          <w:szCs w:val="32"/>
        </w:rPr>
      </w:pPr>
    </w:p>
    <w:p>
      <w:pPr>
        <w:spacing w:line="578" w:lineRule="exact"/>
        <w:jc w:val="center"/>
        <w:rPr>
          <w:rFonts w:eastAsia="仿宋_GB2312"/>
          <w:sz w:val="32"/>
          <w:szCs w:val="32"/>
        </w:rPr>
      </w:pPr>
    </w:p>
    <w:p>
      <w:pPr>
        <w:spacing w:line="578" w:lineRule="exact"/>
        <w:jc w:val="center"/>
        <w:rPr>
          <w:rFonts w:eastAsia="仿宋_GB2312"/>
          <w:sz w:val="32"/>
          <w:szCs w:val="32"/>
        </w:rPr>
      </w:pPr>
    </w:p>
    <w:p>
      <w:pPr>
        <w:spacing w:line="578" w:lineRule="exact"/>
        <w:jc w:val="center"/>
        <w:rPr>
          <w:rFonts w:eastAsia="仿宋_GB2312"/>
          <w:sz w:val="32"/>
          <w:szCs w:val="32"/>
        </w:rPr>
      </w:pPr>
    </w:p>
    <w:p>
      <w:pPr>
        <w:spacing w:line="578" w:lineRule="exact"/>
        <w:ind w:firstLine="31680" w:firstLineChars="200"/>
        <w:rPr>
          <w:rFonts w:eastAsia="仿宋_GB2312"/>
          <w:sz w:val="32"/>
          <w:szCs w:val="32"/>
        </w:rPr>
      </w:pPr>
      <w:r>
        <w:rPr>
          <w:rFonts w:hint="eastAsia" w:eastAsia="仿宋_GB2312"/>
          <w:sz w:val="32"/>
          <w:szCs w:val="32"/>
        </w:rPr>
        <w:t>市卫生健康委</w:t>
      </w:r>
      <w:r>
        <w:rPr>
          <w:rFonts w:eastAsia="仿宋_GB2312"/>
          <w:sz w:val="32"/>
          <w:szCs w:val="32"/>
        </w:rPr>
        <w:t xml:space="preserve">         </w:t>
      </w:r>
      <w:r>
        <w:rPr>
          <w:rFonts w:hint="eastAsia" w:hAnsi="Calibri" w:eastAsia="仿宋_GB2312"/>
          <w:sz w:val="32"/>
          <w:szCs w:val="32"/>
        </w:rPr>
        <w:t>市人社局</w:t>
      </w:r>
      <w:r>
        <w:rPr>
          <w:rFonts w:eastAsia="仿宋_GB2312"/>
          <w:sz w:val="32"/>
          <w:szCs w:val="32"/>
        </w:rPr>
        <w:t xml:space="preserve">           </w:t>
      </w:r>
      <w:r>
        <w:rPr>
          <w:rFonts w:hint="eastAsia" w:eastAsia="仿宋_GB2312"/>
          <w:sz w:val="32"/>
          <w:szCs w:val="32"/>
        </w:rPr>
        <w:t>市税务局</w:t>
      </w:r>
    </w:p>
    <w:p>
      <w:pPr>
        <w:spacing w:line="578" w:lineRule="exact"/>
        <w:ind w:firstLine="645"/>
        <w:jc w:val="center"/>
        <w:rPr>
          <w:rFonts w:eastAsia="仿宋_GB2312"/>
          <w:sz w:val="32"/>
          <w:szCs w:val="32"/>
        </w:rPr>
      </w:pPr>
    </w:p>
    <w:p>
      <w:pPr>
        <w:spacing w:line="578" w:lineRule="exact"/>
        <w:ind w:firstLine="645"/>
        <w:jc w:val="center"/>
        <w:rPr>
          <w:rFonts w:eastAsia="仿宋_GB2312"/>
          <w:sz w:val="32"/>
          <w:szCs w:val="32"/>
        </w:rPr>
      </w:pPr>
    </w:p>
    <w:p>
      <w:pPr>
        <w:spacing w:line="578" w:lineRule="exact"/>
        <w:ind w:firstLine="645"/>
        <w:jc w:val="center"/>
        <w:rPr>
          <w:rFonts w:eastAsia="仿宋_GB2312"/>
          <w:sz w:val="32"/>
          <w:szCs w:val="32"/>
        </w:rPr>
      </w:pPr>
    </w:p>
    <w:p>
      <w:pPr>
        <w:spacing w:line="578" w:lineRule="exact"/>
        <w:ind w:firstLine="645"/>
        <w:jc w:val="center"/>
        <w:rPr>
          <w:rFonts w:eastAsia="仿宋_GB2312"/>
          <w:sz w:val="32"/>
          <w:szCs w:val="32"/>
        </w:rPr>
      </w:pPr>
    </w:p>
    <w:p>
      <w:pPr>
        <w:spacing w:line="578" w:lineRule="exact"/>
        <w:jc w:val="center"/>
        <w:rPr>
          <w:rFonts w:eastAsia="仿宋_GB2312"/>
          <w:sz w:val="32"/>
          <w:szCs w:val="32"/>
        </w:rPr>
      </w:pPr>
      <w:r>
        <w:rPr>
          <w:rFonts w:eastAsia="仿宋_GB2312"/>
          <w:sz w:val="32"/>
          <w:szCs w:val="32"/>
        </w:rPr>
        <w:t xml:space="preserve">   </w:t>
      </w:r>
      <w:r>
        <w:rPr>
          <w:rFonts w:hint="eastAsia" w:eastAsia="仿宋_GB2312"/>
          <w:sz w:val="32"/>
          <w:szCs w:val="32"/>
        </w:rPr>
        <w:t>天津银保监局</w:t>
      </w:r>
    </w:p>
    <w:p>
      <w:pPr>
        <w:spacing w:line="578" w:lineRule="exact"/>
        <w:ind w:firstLine="31680" w:firstLineChars="200"/>
        <w:rPr>
          <w:rFonts w:eastAsia="仿宋_GB2312"/>
          <w:sz w:val="32"/>
          <w:szCs w:val="32"/>
        </w:rPr>
      </w:pPr>
      <w:r>
        <w:rPr>
          <w:rFonts w:eastAsia="仿宋_GB2312"/>
          <w:sz w:val="32"/>
          <w:szCs w:val="32"/>
        </w:rPr>
        <w:t xml:space="preserve">                              2021</w:t>
      </w:r>
      <w:r>
        <w:rPr>
          <w:rFonts w:hint="eastAsia" w:eastAsia="仿宋_GB2312"/>
          <w:sz w:val="32"/>
          <w:szCs w:val="32"/>
        </w:rPr>
        <w:t>年</w:t>
      </w:r>
      <w:r>
        <w:rPr>
          <w:rFonts w:eastAsia="仿宋_GB2312"/>
          <w:sz w:val="32"/>
          <w:szCs w:val="32"/>
        </w:rPr>
        <w:t>1</w:t>
      </w:r>
      <w:r>
        <w:rPr>
          <w:rFonts w:hint="eastAsia" w:eastAsia="仿宋_GB2312"/>
          <w:sz w:val="32"/>
          <w:szCs w:val="32"/>
        </w:rPr>
        <w:t>月</w:t>
      </w:r>
      <w:r>
        <w:rPr>
          <w:rFonts w:hint="eastAsia" w:eastAsia="仿宋_GB2312"/>
          <w:sz w:val="32"/>
          <w:szCs w:val="32"/>
          <w:lang w:val="en-US" w:eastAsia="zh-CN"/>
        </w:rPr>
        <w:t>22</w:t>
      </w:r>
      <w:r>
        <w:rPr>
          <w:rFonts w:hint="eastAsia" w:eastAsia="仿宋_GB2312"/>
          <w:sz w:val="32"/>
          <w:szCs w:val="32"/>
        </w:rPr>
        <w:t>日</w:t>
      </w:r>
    </w:p>
    <w:p>
      <w:pPr>
        <w:spacing w:line="578" w:lineRule="exact"/>
        <w:ind w:firstLine="31680" w:firstLineChars="200"/>
        <w:rPr>
          <w:rFonts w:eastAsia="仿宋_GB2312"/>
          <w:sz w:val="32"/>
          <w:szCs w:val="32"/>
        </w:rPr>
      </w:pPr>
      <w:r>
        <w:rPr>
          <w:rFonts w:hint="eastAsia" w:eastAsia="仿宋_GB2312"/>
          <w:sz w:val="32"/>
          <w:szCs w:val="32"/>
        </w:rPr>
        <w:t>（此件主动公开）</w:t>
      </w:r>
      <w:r>
        <w:rPr>
          <w:rFonts w:eastAsia="方正小标宋简体"/>
          <w:sz w:val="44"/>
          <w:szCs w:val="44"/>
        </w:rPr>
        <w:t xml:space="preserve"> </w:t>
      </w:r>
    </w:p>
    <w:p>
      <w:pPr>
        <w:spacing w:line="578" w:lineRule="exact"/>
        <w:jc w:val="center"/>
        <w:rPr>
          <w:rFonts w:eastAsia="方正小标宋简体"/>
          <w:sz w:val="44"/>
          <w:szCs w:val="44"/>
        </w:rPr>
      </w:pPr>
    </w:p>
    <w:p>
      <w:pPr>
        <w:spacing w:line="578" w:lineRule="exact"/>
        <w:jc w:val="both"/>
        <w:rPr>
          <w:rFonts w:hAnsi="Calibri" w:eastAsia="方正小标宋简体"/>
          <w:sz w:val="44"/>
          <w:szCs w:val="44"/>
        </w:rPr>
      </w:pPr>
    </w:p>
    <w:p>
      <w:pPr>
        <w:spacing w:line="578" w:lineRule="exact"/>
        <w:jc w:val="center"/>
        <w:rPr>
          <w:rFonts w:eastAsia="方正小标宋简体"/>
          <w:sz w:val="44"/>
          <w:szCs w:val="44"/>
        </w:rPr>
      </w:pPr>
      <w:r>
        <w:rPr>
          <w:rFonts w:hint="eastAsia" w:hAnsi="Calibri" w:eastAsia="方正小标宋简体"/>
          <w:sz w:val="44"/>
          <w:szCs w:val="44"/>
        </w:rPr>
        <w:t>《天津市长期护理保险制度试点实施方案》</w:t>
      </w:r>
    </w:p>
    <w:p>
      <w:pPr>
        <w:spacing w:line="578" w:lineRule="exact"/>
        <w:jc w:val="center"/>
        <w:rPr>
          <w:rFonts w:eastAsia="方正小标宋简体"/>
          <w:sz w:val="44"/>
          <w:szCs w:val="44"/>
        </w:rPr>
      </w:pPr>
      <w:r>
        <w:rPr>
          <w:rFonts w:hint="eastAsia" w:hAnsi="Calibri" w:eastAsia="方正小标宋简体"/>
          <w:sz w:val="44"/>
          <w:szCs w:val="44"/>
        </w:rPr>
        <w:t>实施细则（试行）</w:t>
      </w:r>
    </w:p>
    <w:p>
      <w:pPr>
        <w:autoSpaceDE w:val="0"/>
        <w:autoSpaceDN w:val="0"/>
        <w:adjustRightInd w:val="0"/>
        <w:spacing w:line="578" w:lineRule="exact"/>
        <w:jc w:val="center"/>
        <w:rPr>
          <w:rFonts w:eastAsia="楷体_GB2312"/>
          <w:color w:val="000000"/>
          <w:kern w:val="0"/>
          <w:sz w:val="36"/>
          <w:szCs w:val="36"/>
        </w:rPr>
      </w:pPr>
      <w:r>
        <w:rPr>
          <w:rFonts w:eastAsia="楷体"/>
          <w:color w:val="000000"/>
          <w:kern w:val="0"/>
          <w:sz w:val="32"/>
          <w:szCs w:val="32"/>
        </w:rPr>
        <w:t xml:space="preserve"> </w:t>
      </w:r>
    </w:p>
    <w:p>
      <w:pPr>
        <w:autoSpaceDE w:val="0"/>
        <w:autoSpaceDN w:val="0"/>
        <w:adjustRightInd w:val="0"/>
        <w:spacing w:line="578" w:lineRule="exact"/>
        <w:ind w:firstLine="31680" w:firstLineChars="200"/>
        <w:rPr>
          <w:rFonts w:eastAsia="仿宋_GB2312"/>
          <w:color w:val="000000"/>
          <w:kern w:val="0"/>
          <w:sz w:val="32"/>
          <w:szCs w:val="32"/>
        </w:rPr>
      </w:pPr>
      <w:r>
        <w:rPr>
          <w:rFonts w:hint="eastAsia" w:hAnsi="Calibri" w:eastAsia="仿宋_GB2312"/>
          <w:color w:val="000000"/>
          <w:kern w:val="0"/>
          <w:sz w:val="32"/>
          <w:szCs w:val="32"/>
        </w:rPr>
        <w:t>为做好本市长期护理保险制度试点工作，根据</w:t>
      </w:r>
      <w:r>
        <w:rPr>
          <w:rFonts w:hint="eastAsia" w:hAnsi="Calibri" w:eastAsia="仿宋_GB2312"/>
          <w:sz w:val="32"/>
          <w:szCs w:val="32"/>
        </w:rPr>
        <w:t>《国家医保局</w:t>
      </w:r>
      <w:r>
        <w:rPr>
          <w:rFonts w:eastAsia="仿宋_GB2312"/>
          <w:sz w:val="32"/>
          <w:szCs w:val="32"/>
        </w:rPr>
        <w:t xml:space="preserve"> </w:t>
      </w:r>
      <w:r>
        <w:rPr>
          <w:rFonts w:hint="eastAsia" w:hAnsi="Calibri" w:eastAsia="仿宋_GB2312"/>
          <w:sz w:val="32"/>
          <w:szCs w:val="32"/>
        </w:rPr>
        <w:t>财政部关于扩大长期护理保险制度试点的指导意见》（</w:t>
      </w:r>
      <w:r>
        <w:rPr>
          <w:rFonts w:hint="eastAsia" w:eastAsia="仿宋_GB2312"/>
          <w:sz w:val="32"/>
          <w:szCs w:val="32"/>
        </w:rPr>
        <w:t>医保发〔</w:t>
      </w:r>
      <w:r>
        <w:rPr>
          <w:rFonts w:eastAsia="仿宋_GB2312"/>
          <w:sz w:val="32"/>
          <w:szCs w:val="32"/>
        </w:rPr>
        <w:t>2020</w:t>
      </w:r>
      <w:r>
        <w:rPr>
          <w:rFonts w:hint="eastAsia" w:eastAsia="仿宋_GB2312"/>
          <w:sz w:val="32"/>
          <w:szCs w:val="32"/>
        </w:rPr>
        <w:t>〕</w:t>
      </w:r>
      <w:r>
        <w:rPr>
          <w:rFonts w:eastAsia="仿宋_GB2312"/>
          <w:sz w:val="32"/>
          <w:szCs w:val="32"/>
        </w:rPr>
        <w:t>37</w:t>
      </w:r>
      <w:r>
        <w:rPr>
          <w:rFonts w:hint="eastAsia" w:eastAsia="仿宋_GB2312"/>
          <w:sz w:val="32"/>
          <w:szCs w:val="32"/>
        </w:rPr>
        <w:t>号）和《天津市人民政府办公厅关于印发天津市长期护理保险制度试点实施方案的通知》（津政办规〔</w:t>
      </w:r>
      <w:r>
        <w:rPr>
          <w:rFonts w:eastAsia="仿宋_GB2312"/>
          <w:sz w:val="32"/>
          <w:szCs w:val="32"/>
        </w:rPr>
        <w:t>2020</w:t>
      </w:r>
      <w:r>
        <w:rPr>
          <w:rFonts w:hint="eastAsia" w:eastAsia="仿宋_GB2312"/>
          <w:sz w:val="32"/>
          <w:szCs w:val="32"/>
        </w:rPr>
        <w:t>〕</w:t>
      </w:r>
      <w:r>
        <w:rPr>
          <w:rFonts w:eastAsia="仿宋_GB2312"/>
          <w:sz w:val="32"/>
          <w:szCs w:val="32"/>
        </w:rPr>
        <w:t>24</w:t>
      </w:r>
      <w:r>
        <w:rPr>
          <w:rFonts w:hint="eastAsia" w:eastAsia="仿宋_GB2312"/>
          <w:sz w:val="32"/>
          <w:szCs w:val="32"/>
        </w:rPr>
        <w:t>号</w:t>
      </w:r>
      <w:r>
        <w:rPr>
          <w:rFonts w:hint="eastAsia" w:hAnsi="Calibri" w:eastAsia="仿宋_GB2312"/>
          <w:color w:val="000000"/>
          <w:kern w:val="0"/>
          <w:sz w:val="32"/>
          <w:szCs w:val="32"/>
        </w:rPr>
        <w:t>，以下简称《方案》），制定本细则。</w:t>
      </w:r>
    </w:p>
    <w:p>
      <w:pPr>
        <w:autoSpaceDE w:val="0"/>
        <w:autoSpaceDN w:val="0"/>
        <w:adjustRightInd w:val="0"/>
        <w:spacing w:line="578" w:lineRule="exact"/>
        <w:ind w:firstLine="31680" w:firstLineChars="200"/>
        <w:rPr>
          <w:rFonts w:eastAsia="仿宋_GB2312"/>
          <w:color w:val="000000"/>
          <w:kern w:val="0"/>
          <w:sz w:val="32"/>
          <w:szCs w:val="32"/>
        </w:rPr>
      </w:pPr>
      <w:r>
        <w:rPr>
          <w:rFonts w:eastAsia="仿宋_GB2312"/>
          <w:color w:val="000000"/>
          <w:kern w:val="0"/>
          <w:sz w:val="32"/>
          <w:szCs w:val="32"/>
        </w:rPr>
        <w:t xml:space="preserve"> </w:t>
      </w:r>
    </w:p>
    <w:p>
      <w:pPr>
        <w:autoSpaceDE w:val="0"/>
        <w:autoSpaceDN w:val="0"/>
        <w:adjustRightInd w:val="0"/>
        <w:spacing w:line="578" w:lineRule="exact"/>
        <w:jc w:val="center"/>
        <w:rPr>
          <w:rFonts w:eastAsia="仿宋_GB2312"/>
          <w:color w:val="000000"/>
          <w:kern w:val="0"/>
          <w:sz w:val="32"/>
          <w:szCs w:val="32"/>
        </w:rPr>
      </w:pPr>
      <w:r>
        <w:rPr>
          <w:rFonts w:hint="eastAsia" w:hAnsi="Calibri" w:eastAsia="黑体"/>
          <w:color w:val="000000"/>
          <w:kern w:val="0"/>
          <w:sz w:val="32"/>
          <w:szCs w:val="32"/>
        </w:rPr>
        <w:t>第一章</w:t>
      </w:r>
      <w:r>
        <w:rPr>
          <w:rFonts w:eastAsia="黑体"/>
          <w:color w:val="000000"/>
          <w:kern w:val="0"/>
          <w:sz w:val="32"/>
          <w:szCs w:val="32"/>
        </w:rPr>
        <w:t xml:space="preserve"> </w:t>
      </w:r>
      <w:r>
        <w:rPr>
          <w:rFonts w:hint="eastAsia" w:hAnsi="Calibri" w:eastAsia="黑体"/>
          <w:color w:val="000000"/>
          <w:kern w:val="0"/>
          <w:sz w:val="32"/>
          <w:szCs w:val="32"/>
        </w:rPr>
        <w:t>参保缴费</w:t>
      </w:r>
    </w:p>
    <w:p>
      <w:pPr>
        <w:spacing w:line="578" w:lineRule="exact"/>
        <w:rPr>
          <w:rFonts w:eastAsia="仿宋_GB2312"/>
          <w:sz w:val="32"/>
          <w:szCs w:val="32"/>
        </w:rPr>
      </w:pPr>
      <w:r>
        <w:rPr>
          <w:rFonts w:eastAsia="仿宋_GB2312"/>
          <w:sz w:val="32"/>
          <w:szCs w:val="32"/>
        </w:rPr>
        <w:t xml:space="preserve">    </w:t>
      </w:r>
      <w:r>
        <w:rPr>
          <w:rFonts w:hint="eastAsia" w:eastAsia="仿宋_GB2312"/>
          <w:b/>
          <w:bCs/>
          <w:sz w:val="32"/>
          <w:szCs w:val="32"/>
        </w:rPr>
        <w:t>第一条</w:t>
      </w:r>
      <w:r>
        <w:rPr>
          <w:rFonts w:eastAsia="仿宋_GB2312"/>
          <w:sz w:val="32"/>
          <w:szCs w:val="32"/>
        </w:rPr>
        <w:t xml:space="preserve"> </w:t>
      </w:r>
      <w:r>
        <w:rPr>
          <w:rFonts w:hint="eastAsia" w:eastAsia="仿宋_GB2312"/>
          <w:sz w:val="32"/>
          <w:szCs w:val="32"/>
        </w:rPr>
        <w:t>《方案》第二部分第（一）条中所称</w:t>
      </w:r>
      <w:r>
        <w:rPr>
          <w:rFonts w:eastAsia="仿宋_GB2312"/>
          <w:sz w:val="32"/>
          <w:szCs w:val="32"/>
        </w:rPr>
        <w:t>“</w:t>
      </w:r>
      <w:r>
        <w:rPr>
          <w:rFonts w:hint="eastAsia" w:eastAsia="仿宋_GB2312"/>
          <w:sz w:val="32"/>
          <w:szCs w:val="32"/>
        </w:rPr>
        <w:t>本市职工基本医疗保险参保人员</w:t>
      </w:r>
      <w:r>
        <w:rPr>
          <w:rFonts w:eastAsia="仿宋_GB2312"/>
          <w:sz w:val="32"/>
          <w:szCs w:val="32"/>
        </w:rPr>
        <w:t>”</w:t>
      </w:r>
      <w:r>
        <w:rPr>
          <w:rFonts w:hint="eastAsia" w:eastAsia="仿宋_GB2312"/>
          <w:sz w:val="32"/>
          <w:szCs w:val="32"/>
        </w:rPr>
        <w:t>，是指本市行政区域内以下参保人员：</w:t>
      </w:r>
    </w:p>
    <w:p>
      <w:pPr>
        <w:spacing w:line="578" w:lineRule="exact"/>
        <w:rPr>
          <w:rFonts w:eastAsia="仿宋_GB2312"/>
          <w:sz w:val="32"/>
          <w:szCs w:val="32"/>
        </w:rPr>
      </w:pPr>
      <w:r>
        <w:rPr>
          <w:rFonts w:eastAsia="仿宋_GB2312"/>
          <w:sz w:val="32"/>
          <w:szCs w:val="32"/>
        </w:rPr>
        <w:t xml:space="preserve">    </w:t>
      </w:r>
      <w:r>
        <w:rPr>
          <w:rFonts w:hint="eastAsia" w:eastAsia="仿宋_GB2312"/>
          <w:sz w:val="32"/>
          <w:szCs w:val="32"/>
        </w:rPr>
        <w:t>（一）在国家机关、企事业单位、社会团体、民办非企业单位、有雇工的个体工商户等单位参加本市职工基本医疗保险的人员。</w:t>
      </w:r>
    </w:p>
    <w:p>
      <w:pPr>
        <w:spacing w:line="578" w:lineRule="exact"/>
        <w:rPr>
          <w:rFonts w:eastAsia="仿宋_GB2312"/>
          <w:sz w:val="32"/>
          <w:szCs w:val="32"/>
        </w:rPr>
      </w:pPr>
      <w:r>
        <w:rPr>
          <w:rFonts w:eastAsia="仿宋_GB2312"/>
          <w:sz w:val="32"/>
          <w:szCs w:val="32"/>
        </w:rPr>
        <w:t xml:space="preserve">    </w:t>
      </w:r>
      <w:r>
        <w:rPr>
          <w:rFonts w:hint="eastAsia" w:eastAsia="仿宋_GB2312"/>
          <w:sz w:val="32"/>
          <w:szCs w:val="32"/>
        </w:rPr>
        <w:t>（二）在个人窗口参加本市职工基本医疗保险的无雇工的个体工商户、未在用人单位参加职工基本医疗保险的非全日制从业人员以及其他灵活就业人员。</w:t>
      </w:r>
    </w:p>
    <w:p>
      <w:pPr>
        <w:spacing w:line="578" w:lineRule="exact"/>
        <w:ind w:firstLine="640"/>
        <w:rPr>
          <w:rFonts w:eastAsia="仿宋_GB2312"/>
          <w:sz w:val="32"/>
          <w:szCs w:val="32"/>
        </w:rPr>
      </w:pPr>
      <w:r>
        <w:rPr>
          <w:rFonts w:hint="eastAsia" w:eastAsia="仿宋_GB2312"/>
          <w:b/>
          <w:bCs/>
          <w:sz w:val="32"/>
          <w:szCs w:val="32"/>
        </w:rPr>
        <w:t>第二条</w:t>
      </w:r>
      <w:r>
        <w:rPr>
          <w:rFonts w:eastAsia="仿宋_GB2312"/>
          <w:sz w:val="32"/>
          <w:szCs w:val="32"/>
        </w:rPr>
        <w:t xml:space="preserve"> </w:t>
      </w:r>
      <w:r>
        <w:rPr>
          <w:rFonts w:hint="eastAsia" w:eastAsia="仿宋_GB2312"/>
          <w:sz w:val="32"/>
          <w:szCs w:val="32"/>
        </w:rPr>
        <w:t>《方案》第二部分第（二）条中所称</w:t>
      </w:r>
      <w:r>
        <w:rPr>
          <w:rFonts w:eastAsia="仿宋_GB2312"/>
          <w:sz w:val="32"/>
          <w:szCs w:val="32"/>
        </w:rPr>
        <w:t>“</w:t>
      </w:r>
      <w:r>
        <w:rPr>
          <w:rFonts w:hint="eastAsia" w:eastAsia="仿宋_GB2312"/>
          <w:sz w:val="32"/>
          <w:szCs w:val="32"/>
        </w:rPr>
        <w:t>个人</w:t>
      </w:r>
      <w:r>
        <w:rPr>
          <w:rFonts w:eastAsia="仿宋_GB2312"/>
          <w:sz w:val="32"/>
          <w:szCs w:val="32"/>
        </w:rPr>
        <w:t>”</w:t>
      </w:r>
      <w:r>
        <w:rPr>
          <w:rFonts w:hint="eastAsia" w:eastAsia="仿宋_GB2312"/>
          <w:sz w:val="32"/>
          <w:szCs w:val="32"/>
        </w:rPr>
        <w:t>，是指单位的职工和退休人员，以及个人窗口职工基本医疗保险的参保缴费人员和退休人员。</w:t>
      </w:r>
    </w:p>
    <w:p>
      <w:pPr>
        <w:spacing w:line="578" w:lineRule="exact"/>
        <w:ind w:firstLine="31680" w:firstLineChars="200"/>
        <w:rPr>
          <w:rFonts w:eastAsia="仿宋_GB2312"/>
          <w:sz w:val="32"/>
          <w:szCs w:val="32"/>
        </w:rPr>
      </w:pPr>
      <w:r>
        <w:rPr>
          <w:rFonts w:hint="eastAsia" w:eastAsia="仿宋_GB2312"/>
          <w:b/>
          <w:bCs/>
          <w:sz w:val="32"/>
          <w:szCs w:val="32"/>
        </w:rPr>
        <w:t>第三条</w:t>
      </w:r>
      <w:r>
        <w:rPr>
          <w:rFonts w:hint="eastAsia" w:eastAsia="仿宋_GB2312"/>
          <w:b/>
          <w:bCs/>
          <w:sz w:val="32"/>
          <w:szCs w:val="32"/>
          <w:lang w:val="en-US" w:eastAsia="zh-CN"/>
        </w:rPr>
        <w:t xml:space="preserve"> </w:t>
      </w:r>
      <w:r>
        <w:rPr>
          <w:rFonts w:hint="eastAsia" w:ascii="仿宋_GB2312" w:hAnsi="Calibri" w:eastAsia="仿宋_GB2312"/>
          <w:color w:val="000000"/>
          <w:sz w:val="32"/>
          <w:szCs w:val="32"/>
        </w:rPr>
        <w:t>《方案》第二部分第（二）条中所涉及的职工基本医疗保险统筹基金一次性划出的长期护理保险基金</w:t>
      </w:r>
      <w:r>
        <w:rPr>
          <w:rFonts w:hint="eastAsia" w:ascii="仿宋_GB2312" w:hAnsi="Calibri" w:eastAsia="仿宋_GB2312"/>
          <w:color w:val="000000"/>
          <w:sz w:val="32"/>
          <w:szCs w:val="32"/>
          <w:lang w:val="en-US" w:eastAsia="zh-CN"/>
        </w:rPr>
        <w:t>,</w:t>
      </w:r>
      <w:r>
        <w:rPr>
          <w:rFonts w:hint="eastAsia" w:ascii="仿宋_GB2312" w:hAnsi="Calibri" w:eastAsia="仿宋_GB2312"/>
          <w:color w:val="000000"/>
          <w:sz w:val="32"/>
          <w:szCs w:val="32"/>
        </w:rPr>
        <w:t>由市财政部门</w:t>
      </w:r>
      <w:r>
        <w:rPr>
          <w:rFonts w:hint="eastAsia" w:ascii="仿宋_GB2312" w:hAnsi="Calibri" w:eastAsia="仿宋_GB2312"/>
          <w:color w:val="000000"/>
          <w:sz w:val="32"/>
          <w:szCs w:val="32"/>
          <w:lang w:eastAsia="zh-CN"/>
        </w:rPr>
        <w:t>根据市医疗保障部门申请</w:t>
      </w:r>
      <w:r>
        <w:rPr>
          <w:rFonts w:hint="eastAsia" w:ascii="仿宋_GB2312" w:hAnsi="Calibri" w:eastAsia="仿宋_GB2312"/>
          <w:color w:val="000000"/>
          <w:sz w:val="32"/>
          <w:szCs w:val="32"/>
        </w:rPr>
        <w:t>划入长期护理保险基金</w:t>
      </w:r>
      <w:r>
        <w:rPr>
          <w:rFonts w:hint="eastAsia" w:ascii="仿宋_GB2312" w:hAnsi="Calibri" w:eastAsia="仿宋_GB2312"/>
          <w:color w:val="000000"/>
          <w:sz w:val="32"/>
          <w:szCs w:val="32"/>
          <w:lang w:eastAsia="zh-CN"/>
        </w:rPr>
        <w:t>；</w:t>
      </w:r>
      <w:r>
        <w:rPr>
          <w:rFonts w:hint="eastAsia" w:ascii="仿宋_GB2312" w:hAnsi="Calibri" w:eastAsia="仿宋_GB2312"/>
          <w:color w:val="000000"/>
          <w:sz w:val="32"/>
          <w:szCs w:val="32"/>
        </w:rPr>
        <w:t>城镇职工大额医疗救助资金中一次性划出的长期护理保险基金，</w:t>
      </w:r>
      <w:r>
        <w:rPr>
          <w:rFonts w:hint="eastAsia" w:ascii="仿宋_GB2312" w:hAnsi="Calibri" w:eastAsia="仿宋_GB2312"/>
          <w:color w:val="000000"/>
          <w:sz w:val="32"/>
          <w:szCs w:val="32"/>
          <w:lang w:eastAsia="zh-CN"/>
        </w:rPr>
        <w:t>由</w:t>
      </w:r>
      <w:r>
        <w:rPr>
          <w:rFonts w:hint="eastAsia" w:ascii="仿宋_GB2312" w:hAnsi="Calibri" w:eastAsia="仿宋_GB2312"/>
          <w:color w:val="000000"/>
          <w:sz w:val="32"/>
          <w:szCs w:val="32"/>
        </w:rPr>
        <w:t>市医疗保障经办机构按规定程序划入长期护理保险基金。</w:t>
      </w:r>
    </w:p>
    <w:p>
      <w:pPr>
        <w:autoSpaceDE w:val="0"/>
        <w:autoSpaceDN w:val="0"/>
        <w:adjustRightInd w:val="0"/>
        <w:spacing w:line="578" w:lineRule="exact"/>
        <w:ind w:firstLine="31680" w:firstLineChars="200"/>
        <w:rPr>
          <w:rFonts w:eastAsia="仿宋_GB2312"/>
          <w:color w:val="000000"/>
          <w:kern w:val="0"/>
          <w:sz w:val="32"/>
          <w:szCs w:val="32"/>
        </w:rPr>
      </w:pPr>
      <w:r>
        <w:rPr>
          <w:rFonts w:hint="eastAsia" w:eastAsia="仿宋_GB2312"/>
          <w:b/>
          <w:bCs/>
          <w:color w:val="000000"/>
          <w:sz w:val="32"/>
          <w:szCs w:val="32"/>
        </w:rPr>
        <w:t>第四条</w:t>
      </w:r>
      <w:r>
        <w:rPr>
          <w:rFonts w:eastAsia="仿宋_GB2312"/>
          <w:b/>
          <w:bCs/>
          <w:color w:val="000000"/>
          <w:sz w:val="32"/>
          <w:szCs w:val="32"/>
        </w:rPr>
        <w:t xml:space="preserve"> </w:t>
      </w:r>
      <w:r>
        <w:rPr>
          <w:rFonts w:hint="eastAsia" w:eastAsia="仿宋_GB2312"/>
          <w:color w:val="000000"/>
          <w:sz w:val="32"/>
          <w:szCs w:val="32"/>
        </w:rPr>
        <w:t>试点阶段，已办理本市职工基本医疗保险参保登记的单位和个人，视为已办理本市长期护理保险参保登记，参保单位及个人无需专门办理长期护理保险参保登记。</w:t>
      </w:r>
    </w:p>
    <w:p>
      <w:pPr>
        <w:autoSpaceDE w:val="0"/>
        <w:autoSpaceDN w:val="0"/>
        <w:adjustRightInd w:val="0"/>
        <w:spacing w:line="578" w:lineRule="exact"/>
        <w:ind w:firstLine="31680" w:firstLineChars="200"/>
        <w:rPr>
          <w:rFonts w:eastAsia="仿宋_GB2312"/>
          <w:color w:val="000000"/>
          <w:kern w:val="0"/>
          <w:sz w:val="32"/>
          <w:szCs w:val="32"/>
        </w:rPr>
      </w:pPr>
      <w:r>
        <w:rPr>
          <w:rFonts w:hint="eastAsia" w:eastAsia="仿宋_GB2312"/>
          <w:b/>
          <w:bCs/>
          <w:color w:val="000000"/>
          <w:kern w:val="0"/>
          <w:sz w:val="32"/>
          <w:szCs w:val="32"/>
        </w:rPr>
        <w:t>第五条</w:t>
      </w:r>
      <w:r>
        <w:rPr>
          <w:rFonts w:eastAsia="仿宋_GB2312"/>
          <w:color w:val="000000"/>
          <w:kern w:val="0"/>
          <w:sz w:val="32"/>
          <w:szCs w:val="32"/>
        </w:rPr>
        <w:t xml:space="preserve"> </w:t>
      </w:r>
      <w:r>
        <w:rPr>
          <w:rFonts w:hint="eastAsia" w:eastAsia="仿宋_GB2312"/>
          <w:color w:val="000000"/>
          <w:kern w:val="0"/>
          <w:sz w:val="32"/>
          <w:szCs w:val="32"/>
        </w:rPr>
        <w:t>为做好长期护理保险基金征收工作，将城镇职工大额医疗救助费由按年缴费调整为按月缴费，缴费标准保持不变，不增加个人缴费负担。参保人员自参加职工基本医疗保险之月开始，按月缴纳城镇职工大额医疗救助费。</w:t>
      </w:r>
    </w:p>
    <w:p>
      <w:pPr>
        <w:autoSpaceDE w:val="0"/>
        <w:autoSpaceDN w:val="0"/>
        <w:adjustRightInd w:val="0"/>
        <w:spacing w:line="578" w:lineRule="exact"/>
        <w:ind w:firstLine="31680" w:firstLineChars="200"/>
        <w:rPr>
          <w:rFonts w:eastAsia="仿宋_GB2312"/>
          <w:color w:val="000000"/>
          <w:kern w:val="0"/>
          <w:sz w:val="32"/>
          <w:szCs w:val="32"/>
        </w:rPr>
      </w:pPr>
      <w:r>
        <w:rPr>
          <w:rFonts w:eastAsia="仿宋_GB2312"/>
          <w:color w:val="000000"/>
          <w:kern w:val="0"/>
          <w:sz w:val="32"/>
          <w:szCs w:val="32"/>
        </w:rPr>
        <w:t xml:space="preserve"> </w:t>
      </w:r>
    </w:p>
    <w:p>
      <w:pPr>
        <w:autoSpaceDE w:val="0"/>
        <w:autoSpaceDN w:val="0"/>
        <w:adjustRightInd w:val="0"/>
        <w:spacing w:line="578" w:lineRule="exact"/>
        <w:jc w:val="center"/>
        <w:rPr>
          <w:rFonts w:eastAsia="黑体"/>
          <w:color w:val="000000"/>
          <w:kern w:val="0"/>
          <w:sz w:val="32"/>
          <w:szCs w:val="32"/>
        </w:rPr>
      </w:pPr>
      <w:r>
        <w:rPr>
          <w:rFonts w:hint="eastAsia" w:hAnsi="黑体" w:eastAsia="黑体"/>
          <w:color w:val="000000"/>
          <w:kern w:val="0"/>
          <w:sz w:val="32"/>
          <w:szCs w:val="32"/>
        </w:rPr>
        <w:t>第二章</w:t>
      </w:r>
      <w:r>
        <w:rPr>
          <w:rFonts w:eastAsia="黑体"/>
          <w:color w:val="000000"/>
          <w:kern w:val="0"/>
          <w:sz w:val="32"/>
          <w:szCs w:val="32"/>
        </w:rPr>
        <w:t xml:space="preserve"> </w:t>
      </w:r>
      <w:r>
        <w:rPr>
          <w:rFonts w:hint="eastAsia" w:hAnsi="黑体" w:eastAsia="黑体"/>
          <w:color w:val="000000"/>
          <w:kern w:val="0"/>
          <w:sz w:val="32"/>
          <w:szCs w:val="32"/>
        </w:rPr>
        <w:t>失能评定</w:t>
      </w:r>
    </w:p>
    <w:p>
      <w:pPr>
        <w:autoSpaceDE w:val="0"/>
        <w:autoSpaceDN w:val="0"/>
        <w:adjustRightInd w:val="0"/>
        <w:spacing w:line="578" w:lineRule="exact"/>
        <w:ind w:firstLine="31680" w:firstLineChars="200"/>
        <w:rPr>
          <w:rFonts w:eastAsia="仿宋_GB2312"/>
          <w:color w:val="000000"/>
          <w:kern w:val="0"/>
          <w:sz w:val="32"/>
          <w:szCs w:val="32"/>
        </w:rPr>
      </w:pPr>
      <w:r>
        <w:rPr>
          <w:rFonts w:hint="eastAsia" w:eastAsia="仿宋_GB2312"/>
          <w:b/>
          <w:bCs/>
          <w:color w:val="000000"/>
          <w:kern w:val="0"/>
          <w:sz w:val="32"/>
          <w:szCs w:val="32"/>
        </w:rPr>
        <w:t>第六条</w:t>
      </w:r>
      <w:r>
        <w:rPr>
          <w:rFonts w:eastAsia="仿宋_GB2312"/>
          <w:color w:val="000000"/>
          <w:kern w:val="0"/>
          <w:sz w:val="32"/>
          <w:szCs w:val="32"/>
        </w:rPr>
        <w:t xml:space="preserve"> </w:t>
      </w:r>
      <w:r>
        <w:rPr>
          <w:rFonts w:hint="eastAsia" w:eastAsia="仿宋_GB2312"/>
          <w:color w:val="000000"/>
          <w:sz w:val="32"/>
          <w:szCs w:val="32"/>
        </w:rPr>
        <w:t>《方案》第二部分第（四）条所称</w:t>
      </w:r>
      <w:r>
        <w:rPr>
          <w:rFonts w:eastAsia="仿宋_GB2312"/>
          <w:color w:val="000000"/>
          <w:sz w:val="32"/>
          <w:szCs w:val="32"/>
        </w:rPr>
        <w:t>“</w:t>
      </w:r>
      <w:r>
        <w:rPr>
          <w:rFonts w:hint="eastAsia" w:eastAsia="仿宋_GB2312"/>
          <w:color w:val="000000"/>
          <w:sz w:val="32"/>
          <w:szCs w:val="32"/>
        </w:rPr>
        <w:t>失能评定机构应具有专业化评定队伍</w:t>
      </w:r>
      <w:r>
        <w:rPr>
          <w:rFonts w:eastAsia="仿宋_GB2312"/>
          <w:color w:val="000000"/>
          <w:sz w:val="32"/>
          <w:szCs w:val="32"/>
        </w:rPr>
        <w:t>”</w:t>
      </w:r>
      <w:r>
        <w:rPr>
          <w:rFonts w:hint="eastAsia" w:eastAsia="仿宋_GB2312"/>
          <w:color w:val="000000"/>
          <w:sz w:val="32"/>
          <w:szCs w:val="32"/>
        </w:rPr>
        <w:t>，主要包括：</w:t>
      </w:r>
      <w:r>
        <w:rPr>
          <w:rFonts w:hint="eastAsia" w:eastAsia="仿宋_GB2312"/>
          <w:color w:val="000000"/>
          <w:kern w:val="0"/>
          <w:sz w:val="32"/>
          <w:szCs w:val="32"/>
        </w:rPr>
        <w:t>具有临床、护理、康复等相关专业中级及以上专业技术职称人员，其他辅助性工作人员。评定队伍要满足失能评定工作需要，评估人员应接受医疗保障部门组织的规范化培训。</w:t>
      </w:r>
    </w:p>
    <w:p>
      <w:pPr>
        <w:autoSpaceDE w:val="0"/>
        <w:autoSpaceDN w:val="0"/>
        <w:adjustRightInd w:val="0"/>
        <w:spacing w:line="578" w:lineRule="exact"/>
        <w:ind w:firstLine="31680" w:firstLineChars="200"/>
        <w:rPr>
          <w:rFonts w:eastAsia="仿宋_GB2312"/>
          <w:color w:val="000000"/>
          <w:kern w:val="0"/>
          <w:sz w:val="32"/>
          <w:szCs w:val="32"/>
        </w:rPr>
      </w:pPr>
      <w:r>
        <w:rPr>
          <w:rFonts w:hint="eastAsia" w:eastAsia="仿宋_GB2312"/>
          <w:b/>
          <w:bCs/>
          <w:color w:val="000000"/>
          <w:kern w:val="0"/>
          <w:sz w:val="32"/>
          <w:szCs w:val="32"/>
        </w:rPr>
        <w:t>第七条</w:t>
      </w:r>
      <w:r>
        <w:rPr>
          <w:rFonts w:eastAsia="仿宋_GB2312"/>
          <w:color w:val="000000"/>
          <w:kern w:val="0"/>
          <w:sz w:val="32"/>
          <w:szCs w:val="32"/>
        </w:rPr>
        <w:t xml:space="preserve"> </w:t>
      </w:r>
      <w:r>
        <w:rPr>
          <w:rFonts w:hint="eastAsia" w:eastAsia="仿宋_GB2312"/>
          <w:color w:val="000000"/>
          <w:kern w:val="0"/>
          <w:sz w:val="32"/>
          <w:szCs w:val="32"/>
        </w:rPr>
        <w:t>试点初期，失能评定标准按照本市长期护理保险失能评定相关标准规范执行。国家医保局颁布全国统一的失能评定标准后，按照国家标准调整完善。</w:t>
      </w:r>
    </w:p>
    <w:p>
      <w:pPr>
        <w:spacing w:line="578" w:lineRule="exact"/>
        <w:ind w:firstLine="31680" w:firstLineChars="200"/>
        <w:rPr>
          <w:rFonts w:eastAsia="仿宋_GB2312"/>
          <w:sz w:val="32"/>
          <w:szCs w:val="32"/>
        </w:rPr>
      </w:pPr>
      <w:r>
        <w:rPr>
          <w:rFonts w:hint="eastAsia" w:eastAsia="仿宋_GB2312"/>
          <w:b/>
          <w:bCs/>
          <w:kern w:val="0"/>
          <w:sz w:val="32"/>
          <w:szCs w:val="32"/>
        </w:rPr>
        <w:t>第八条</w:t>
      </w:r>
      <w:r>
        <w:rPr>
          <w:rFonts w:eastAsia="仿宋_GB2312"/>
          <w:sz w:val="32"/>
          <w:szCs w:val="32"/>
        </w:rPr>
        <w:t xml:space="preserve"> </w:t>
      </w:r>
      <w:r>
        <w:rPr>
          <w:rFonts w:hint="eastAsia" w:eastAsia="仿宋_GB2312"/>
          <w:sz w:val="32"/>
          <w:szCs w:val="32"/>
        </w:rPr>
        <w:t>失能评定按照申请、审核、信息采集、结论生成、社会公示、结论送达等程序进行。信息采集应全过程影像记录，并做好相关材料归档管理。</w:t>
      </w:r>
    </w:p>
    <w:p>
      <w:pPr>
        <w:spacing w:line="578" w:lineRule="exact"/>
        <w:ind w:firstLine="31680" w:firstLineChars="200"/>
        <w:rPr>
          <w:rFonts w:eastAsia="仿宋_GB2312"/>
          <w:sz w:val="32"/>
          <w:szCs w:val="32"/>
        </w:rPr>
      </w:pPr>
      <w:r>
        <w:rPr>
          <w:rFonts w:hint="eastAsia" w:eastAsia="仿宋_GB2312"/>
          <w:b/>
          <w:bCs/>
          <w:sz w:val="32"/>
          <w:szCs w:val="32"/>
        </w:rPr>
        <w:t>第九条</w:t>
      </w:r>
      <w:r>
        <w:rPr>
          <w:rFonts w:eastAsia="仿宋_GB2312"/>
          <w:sz w:val="32"/>
          <w:szCs w:val="32"/>
        </w:rPr>
        <w:t xml:space="preserve"> </w:t>
      </w:r>
      <w:r>
        <w:rPr>
          <w:rFonts w:hint="eastAsia" w:eastAsia="仿宋_GB2312"/>
          <w:sz w:val="32"/>
          <w:szCs w:val="32"/>
        </w:rPr>
        <w:t>参保人员对初次评定结论不认同的，由区医疗保障部门会同区卫生健康、民政部门指定辖区内二级（含）以上基本医疗保障定点医疗机构进行异议复评，具体流程参照初次评定执行。检查过程发现参保人员失能状态发生变化或被实名举报的，需要开展状态复评，初次评定机构和人员应予以回避。复评结论为最终结论，有效期不超过</w:t>
      </w:r>
      <w:r>
        <w:rPr>
          <w:rFonts w:eastAsia="仿宋_GB2312"/>
          <w:sz w:val="32"/>
          <w:szCs w:val="32"/>
        </w:rPr>
        <w:t>2</w:t>
      </w:r>
      <w:r>
        <w:rPr>
          <w:rFonts w:hint="eastAsia" w:eastAsia="仿宋_GB2312"/>
          <w:sz w:val="32"/>
          <w:szCs w:val="32"/>
        </w:rPr>
        <w:t>年。</w:t>
      </w:r>
    </w:p>
    <w:p>
      <w:pPr>
        <w:spacing w:line="578" w:lineRule="exact"/>
        <w:ind w:firstLine="31680" w:firstLineChars="200"/>
        <w:rPr>
          <w:rFonts w:eastAsia="仿宋_GB2312"/>
          <w:sz w:val="32"/>
          <w:szCs w:val="32"/>
        </w:rPr>
      </w:pPr>
      <w:r>
        <w:rPr>
          <w:rFonts w:hint="eastAsia" w:eastAsia="仿宋_GB2312"/>
          <w:b/>
          <w:bCs/>
          <w:sz w:val="32"/>
          <w:szCs w:val="32"/>
        </w:rPr>
        <w:t>第十条</w:t>
      </w:r>
      <w:r>
        <w:rPr>
          <w:rFonts w:eastAsia="仿宋_GB2312"/>
          <w:b/>
          <w:bCs/>
          <w:sz w:val="32"/>
          <w:szCs w:val="32"/>
        </w:rPr>
        <w:t xml:space="preserve"> </w:t>
      </w:r>
      <w:r>
        <w:rPr>
          <w:rFonts w:hint="eastAsia" w:eastAsia="仿宋_GB2312"/>
          <w:sz w:val="32"/>
          <w:szCs w:val="32"/>
        </w:rPr>
        <w:t>有以下情形之一的，不符合失能评定申请条件：</w:t>
      </w:r>
    </w:p>
    <w:p>
      <w:pPr>
        <w:spacing w:line="578" w:lineRule="exact"/>
        <w:ind w:firstLine="31680" w:firstLineChars="200"/>
        <w:rPr>
          <w:rFonts w:eastAsia="仿宋_GB2312"/>
          <w:sz w:val="32"/>
          <w:szCs w:val="32"/>
        </w:rPr>
      </w:pPr>
      <w:r>
        <w:rPr>
          <w:rFonts w:hint="eastAsia" w:eastAsia="仿宋_GB2312"/>
          <w:sz w:val="32"/>
          <w:szCs w:val="32"/>
        </w:rPr>
        <w:t>（一）申请当月未缴纳长期护理保险费的；</w:t>
      </w:r>
    </w:p>
    <w:p>
      <w:pPr>
        <w:spacing w:line="578" w:lineRule="exact"/>
        <w:ind w:firstLine="31680" w:firstLineChars="200"/>
        <w:rPr>
          <w:rFonts w:eastAsia="仿宋_GB2312"/>
          <w:sz w:val="32"/>
          <w:szCs w:val="32"/>
        </w:rPr>
      </w:pPr>
      <w:r>
        <w:rPr>
          <w:rFonts w:hint="eastAsia" w:eastAsia="仿宋_GB2312"/>
          <w:sz w:val="32"/>
          <w:szCs w:val="32"/>
        </w:rPr>
        <w:t>（二）经医疗机构或康复机构规范诊疗、失能状态持续未满</w:t>
      </w:r>
      <w:r>
        <w:rPr>
          <w:rFonts w:eastAsia="仿宋_GB2312"/>
          <w:sz w:val="32"/>
          <w:szCs w:val="32"/>
        </w:rPr>
        <w:t>6</w:t>
      </w:r>
      <w:r>
        <w:rPr>
          <w:rFonts w:hint="eastAsia" w:eastAsia="仿宋_GB2312"/>
          <w:sz w:val="32"/>
          <w:szCs w:val="32"/>
        </w:rPr>
        <w:t>个月的；</w:t>
      </w:r>
    </w:p>
    <w:p>
      <w:pPr>
        <w:spacing w:line="578" w:lineRule="exact"/>
        <w:ind w:firstLine="31680" w:firstLineChars="200"/>
        <w:rPr>
          <w:rFonts w:eastAsia="仿宋_GB2312"/>
          <w:sz w:val="32"/>
          <w:szCs w:val="32"/>
        </w:rPr>
      </w:pPr>
      <w:r>
        <w:rPr>
          <w:rFonts w:hint="eastAsia" w:eastAsia="仿宋_GB2312"/>
          <w:sz w:val="32"/>
          <w:szCs w:val="32"/>
        </w:rPr>
        <w:t>（三）距上次生效评定结论作出之日起，未满</w:t>
      </w:r>
      <w:r>
        <w:rPr>
          <w:rFonts w:eastAsia="仿宋_GB2312"/>
          <w:sz w:val="32"/>
          <w:szCs w:val="32"/>
        </w:rPr>
        <w:t>6</w:t>
      </w:r>
      <w:r>
        <w:rPr>
          <w:rFonts w:hint="eastAsia" w:eastAsia="仿宋_GB2312"/>
          <w:sz w:val="32"/>
          <w:szCs w:val="32"/>
        </w:rPr>
        <w:t>个月的。</w:t>
      </w:r>
    </w:p>
    <w:p>
      <w:pPr>
        <w:autoSpaceDE w:val="0"/>
        <w:autoSpaceDN w:val="0"/>
        <w:adjustRightInd w:val="0"/>
        <w:spacing w:line="578" w:lineRule="exact"/>
        <w:rPr>
          <w:rFonts w:eastAsia="仿宋_GB2312"/>
          <w:color w:val="000000"/>
          <w:kern w:val="0"/>
          <w:sz w:val="32"/>
          <w:szCs w:val="32"/>
        </w:rPr>
      </w:pPr>
      <w:r>
        <w:rPr>
          <w:rFonts w:eastAsia="仿宋_GB2312"/>
          <w:color w:val="000000"/>
          <w:kern w:val="0"/>
          <w:sz w:val="32"/>
          <w:szCs w:val="32"/>
        </w:rPr>
        <w:t xml:space="preserve"> </w:t>
      </w:r>
    </w:p>
    <w:p>
      <w:pPr>
        <w:autoSpaceDE w:val="0"/>
        <w:autoSpaceDN w:val="0"/>
        <w:adjustRightInd w:val="0"/>
        <w:spacing w:line="578" w:lineRule="exact"/>
        <w:jc w:val="center"/>
        <w:rPr>
          <w:rFonts w:eastAsia="黑体"/>
          <w:color w:val="000000"/>
          <w:kern w:val="0"/>
          <w:sz w:val="32"/>
          <w:szCs w:val="32"/>
        </w:rPr>
      </w:pPr>
      <w:r>
        <w:rPr>
          <w:rFonts w:hint="eastAsia" w:hAnsi="黑体" w:eastAsia="黑体"/>
          <w:color w:val="000000"/>
          <w:kern w:val="0"/>
          <w:sz w:val="32"/>
          <w:szCs w:val="32"/>
        </w:rPr>
        <w:t>第三章</w:t>
      </w:r>
      <w:r>
        <w:rPr>
          <w:rFonts w:eastAsia="黑体"/>
          <w:color w:val="000000"/>
          <w:kern w:val="0"/>
          <w:sz w:val="32"/>
          <w:szCs w:val="32"/>
        </w:rPr>
        <w:t xml:space="preserve"> </w:t>
      </w:r>
      <w:r>
        <w:rPr>
          <w:rFonts w:hint="eastAsia" w:hAnsi="黑体" w:eastAsia="黑体"/>
          <w:color w:val="000000"/>
          <w:kern w:val="0"/>
          <w:sz w:val="32"/>
          <w:szCs w:val="32"/>
        </w:rPr>
        <w:t>待遇支付</w:t>
      </w:r>
    </w:p>
    <w:p>
      <w:pPr>
        <w:spacing w:line="578" w:lineRule="exact"/>
        <w:rPr>
          <w:rFonts w:eastAsia="仿宋_GB2312"/>
          <w:sz w:val="32"/>
          <w:szCs w:val="32"/>
        </w:rPr>
      </w:pPr>
      <w:r>
        <w:rPr>
          <w:rFonts w:eastAsia="仿宋_GB2312"/>
          <w:sz w:val="32"/>
          <w:szCs w:val="32"/>
        </w:rPr>
        <w:t xml:space="preserve"> </w:t>
      </w:r>
      <w:r>
        <w:rPr>
          <w:rFonts w:eastAsia="仿宋_GB2312"/>
          <w:b/>
          <w:bCs/>
          <w:sz w:val="32"/>
          <w:szCs w:val="32"/>
        </w:rPr>
        <w:t xml:space="preserve">   </w:t>
      </w:r>
      <w:r>
        <w:rPr>
          <w:rFonts w:hint="eastAsia" w:eastAsia="仿宋_GB2312"/>
          <w:b/>
          <w:bCs/>
          <w:sz w:val="32"/>
          <w:szCs w:val="32"/>
        </w:rPr>
        <w:t>第十一条</w:t>
      </w:r>
      <w:r>
        <w:rPr>
          <w:rFonts w:eastAsia="仿宋_GB2312"/>
          <w:sz w:val="32"/>
          <w:szCs w:val="32"/>
        </w:rPr>
        <w:t xml:space="preserve"> </w:t>
      </w:r>
      <w:r>
        <w:rPr>
          <w:rFonts w:hint="eastAsia" w:eastAsia="仿宋_GB2312"/>
          <w:sz w:val="32"/>
          <w:szCs w:val="32"/>
        </w:rPr>
        <w:t>参保人员自参加长期护理保险次月起，可以申请失能评定。通过失能评定达到重度失能标准的，自作出评定结论次月起享受本市长期护理保险相关待遇。中断缴纳长期护理保险费的，中断享受相关待遇；恢复正常缴费的，自恢复次月起享受相关待遇。</w:t>
      </w:r>
    </w:p>
    <w:p>
      <w:pPr>
        <w:autoSpaceDE w:val="0"/>
        <w:autoSpaceDN w:val="0"/>
        <w:adjustRightInd w:val="0"/>
        <w:spacing w:line="578" w:lineRule="exact"/>
        <w:ind w:firstLine="31680" w:firstLineChars="200"/>
        <w:rPr>
          <w:rFonts w:eastAsia="仿宋_GB2312"/>
          <w:color w:val="000000"/>
          <w:sz w:val="32"/>
          <w:szCs w:val="32"/>
        </w:rPr>
      </w:pPr>
      <w:r>
        <w:rPr>
          <w:rFonts w:hint="eastAsia" w:eastAsia="仿宋_GB2312"/>
          <w:b/>
          <w:bCs/>
          <w:color w:val="000000"/>
          <w:kern w:val="0"/>
          <w:sz w:val="32"/>
          <w:szCs w:val="32"/>
        </w:rPr>
        <w:t>第十二条</w:t>
      </w:r>
      <w:r>
        <w:rPr>
          <w:rFonts w:eastAsia="仿宋_GB2312"/>
          <w:b/>
          <w:bCs/>
          <w:color w:val="000000"/>
          <w:kern w:val="0"/>
          <w:sz w:val="32"/>
          <w:szCs w:val="32"/>
        </w:rPr>
        <w:t xml:space="preserve"> </w:t>
      </w:r>
      <w:r>
        <w:rPr>
          <w:rFonts w:hint="eastAsia" w:eastAsia="仿宋_GB2312"/>
          <w:color w:val="000000"/>
          <w:sz w:val="32"/>
          <w:szCs w:val="32"/>
        </w:rPr>
        <w:t>《方案》第二部分第（三）条所称</w:t>
      </w:r>
      <w:r>
        <w:rPr>
          <w:rFonts w:eastAsia="仿宋_GB2312"/>
          <w:color w:val="000000"/>
          <w:sz w:val="32"/>
          <w:szCs w:val="32"/>
        </w:rPr>
        <w:t>“</w:t>
      </w:r>
      <w:r>
        <w:rPr>
          <w:rFonts w:hint="eastAsia" w:eastAsia="仿宋_GB2312"/>
          <w:color w:val="000000"/>
          <w:kern w:val="0"/>
          <w:sz w:val="32"/>
          <w:szCs w:val="32"/>
        </w:rPr>
        <w:t>符合规定护理服务费用</w:t>
      </w:r>
      <w:r>
        <w:rPr>
          <w:rFonts w:eastAsia="仿宋_GB2312"/>
          <w:color w:val="000000"/>
          <w:sz w:val="32"/>
          <w:szCs w:val="32"/>
        </w:rPr>
        <w:t>”</w:t>
      </w:r>
      <w:r>
        <w:rPr>
          <w:rFonts w:hint="eastAsia" w:eastAsia="仿宋_GB2312"/>
          <w:color w:val="000000"/>
          <w:sz w:val="32"/>
          <w:szCs w:val="32"/>
        </w:rPr>
        <w:t>，包括基本生活照料和与之密切相关的医疗护理费用，具体按照本市长期护理保险服务项目和标准执行。</w:t>
      </w:r>
    </w:p>
    <w:p>
      <w:pPr>
        <w:spacing w:line="578" w:lineRule="exact"/>
        <w:ind w:firstLine="31680" w:firstLineChars="200"/>
        <w:rPr>
          <w:rFonts w:eastAsia="仿宋_GB2312"/>
          <w:kern w:val="0"/>
          <w:sz w:val="32"/>
          <w:szCs w:val="32"/>
        </w:rPr>
      </w:pPr>
      <w:r>
        <w:rPr>
          <w:rFonts w:hint="eastAsia" w:eastAsia="仿宋_GB2312"/>
          <w:b/>
          <w:bCs/>
          <w:sz w:val="32"/>
          <w:szCs w:val="32"/>
        </w:rPr>
        <w:t>第十三条</w:t>
      </w:r>
      <w:r>
        <w:rPr>
          <w:rFonts w:eastAsia="仿宋_GB2312"/>
          <w:b/>
          <w:bCs/>
          <w:sz w:val="32"/>
          <w:szCs w:val="32"/>
        </w:rPr>
        <w:t xml:space="preserve"> </w:t>
      </w:r>
      <w:r>
        <w:rPr>
          <w:rFonts w:hint="eastAsia" w:eastAsia="仿宋_GB2312"/>
          <w:sz w:val="32"/>
          <w:szCs w:val="32"/>
        </w:rPr>
        <w:t>参保人员因死亡、状态复评后不符合重度失能标准、入住医疗机构接受住院治疗等情形不符合长期护理保险待遇条件的，</w:t>
      </w:r>
      <w:r>
        <w:rPr>
          <w:rFonts w:hint="eastAsia" w:eastAsia="仿宋_GB2312"/>
          <w:kern w:val="0"/>
          <w:sz w:val="32"/>
          <w:szCs w:val="32"/>
        </w:rPr>
        <w:t>定点护理机构应及时办理待遇终止手续。</w:t>
      </w:r>
    </w:p>
    <w:p>
      <w:pPr>
        <w:autoSpaceDE w:val="0"/>
        <w:autoSpaceDN w:val="0"/>
        <w:adjustRightInd w:val="0"/>
        <w:spacing w:line="578" w:lineRule="exact"/>
        <w:ind w:firstLine="31680" w:firstLineChars="200"/>
        <w:rPr>
          <w:rFonts w:eastAsia="仿宋_GB2312"/>
          <w:color w:val="000000"/>
          <w:kern w:val="0"/>
          <w:sz w:val="32"/>
          <w:szCs w:val="32"/>
        </w:rPr>
      </w:pPr>
      <w:r>
        <w:rPr>
          <w:rFonts w:hint="eastAsia" w:eastAsia="仿宋_GB2312"/>
          <w:b/>
          <w:bCs/>
          <w:color w:val="000000"/>
          <w:sz w:val="32"/>
          <w:szCs w:val="32"/>
        </w:rPr>
        <w:t>第十四条</w:t>
      </w:r>
      <w:r>
        <w:rPr>
          <w:rFonts w:eastAsia="仿宋_GB2312"/>
          <w:color w:val="000000"/>
          <w:sz w:val="32"/>
          <w:szCs w:val="32"/>
        </w:rPr>
        <w:t xml:space="preserve"> </w:t>
      </w:r>
      <w:r>
        <w:rPr>
          <w:rFonts w:hint="eastAsia" w:eastAsia="仿宋_GB2312"/>
          <w:color w:val="000000"/>
          <w:kern w:val="0"/>
          <w:sz w:val="32"/>
          <w:szCs w:val="32"/>
        </w:rPr>
        <w:t>未纳入本市长期护理保险服务项目和标准的护理服务费用，以及超过本市长期护理保险支付标准费用，由参保人员自行负担。居家护理不足一个月的，按天结算。</w:t>
      </w:r>
    </w:p>
    <w:p>
      <w:pPr>
        <w:autoSpaceDE w:val="0"/>
        <w:autoSpaceDN w:val="0"/>
        <w:adjustRightInd w:val="0"/>
        <w:spacing w:line="578" w:lineRule="exact"/>
        <w:ind w:firstLine="31680" w:firstLineChars="200"/>
        <w:rPr>
          <w:rFonts w:eastAsia="仿宋_GB2312"/>
          <w:color w:val="000000"/>
          <w:kern w:val="0"/>
          <w:sz w:val="32"/>
          <w:szCs w:val="32"/>
        </w:rPr>
      </w:pPr>
      <w:r>
        <w:rPr>
          <w:rFonts w:hint="eastAsia" w:eastAsia="仿宋_GB2312"/>
          <w:b/>
          <w:bCs/>
          <w:color w:val="000000"/>
          <w:kern w:val="0"/>
          <w:sz w:val="32"/>
          <w:szCs w:val="32"/>
        </w:rPr>
        <w:t>第十五条</w:t>
      </w:r>
      <w:r>
        <w:rPr>
          <w:rFonts w:eastAsia="仿宋_GB2312"/>
          <w:color w:val="000000"/>
          <w:kern w:val="0"/>
          <w:sz w:val="32"/>
          <w:szCs w:val="32"/>
        </w:rPr>
        <w:t xml:space="preserve"> </w:t>
      </w:r>
      <w:r>
        <w:rPr>
          <w:rFonts w:hint="eastAsia" w:eastAsia="仿宋_GB2312"/>
          <w:color w:val="000000"/>
          <w:kern w:val="0"/>
          <w:sz w:val="32"/>
          <w:szCs w:val="32"/>
        </w:rPr>
        <w:t>稳妥做好经济困难的高龄、失能老年人补贴以及重度残疾人护理补贴等政策与长期护理保险的衔接，确保参保人员精准享受相关待遇。</w:t>
      </w:r>
    </w:p>
    <w:p>
      <w:pPr>
        <w:autoSpaceDE w:val="0"/>
        <w:autoSpaceDN w:val="0"/>
        <w:adjustRightInd w:val="0"/>
        <w:spacing w:line="578" w:lineRule="exact"/>
        <w:ind w:firstLine="31680" w:firstLineChars="200"/>
        <w:jc w:val="center"/>
        <w:rPr>
          <w:rFonts w:eastAsia="仿宋_GB2312"/>
          <w:color w:val="000000"/>
          <w:kern w:val="0"/>
          <w:sz w:val="32"/>
          <w:szCs w:val="32"/>
        </w:rPr>
      </w:pPr>
      <w:r>
        <w:rPr>
          <w:rFonts w:eastAsia="仿宋_GB2312"/>
          <w:color w:val="000000"/>
          <w:kern w:val="0"/>
          <w:sz w:val="32"/>
          <w:szCs w:val="32"/>
        </w:rPr>
        <w:t xml:space="preserve"> </w:t>
      </w:r>
    </w:p>
    <w:p>
      <w:pPr>
        <w:autoSpaceDE w:val="0"/>
        <w:autoSpaceDN w:val="0"/>
        <w:adjustRightInd w:val="0"/>
        <w:spacing w:line="578" w:lineRule="exact"/>
        <w:jc w:val="center"/>
        <w:rPr>
          <w:rFonts w:eastAsia="黑体"/>
          <w:color w:val="000000"/>
          <w:kern w:val="0"/>
          <w:sz w:val="32"/>
          <w:szCs w:val="32"/>
        </w:rPr>
      </w:pPr>
      <w:r>
        <w:rPr>
          <w:rFonts w:hint="eastAsia" w:hAnsi="黑体" w:eastAsia="黑体"/>
          <w:color w:val="000000"/>
          <w:kern w:val="0"/>
          <w:sz w:val="32"/>
          <w:szCs w:val="32"/>
        </w:rPr>
        <w:t>第四章</w:t>
      </w:r>
      <w:r>
        <w:rPr>
          <w:rFonts w:eastAsia="黑体"/>
          <w:color w:val="000000"/>
          <w:kern w:val="0"/>
          <w:sz w:val="32"/>
          <w:szCs w:val="32"/>
        </w:rPr>
        <w:t xml:space="preserve"> </w:t>
      </w:r>
      <w:r>
        <w:rPr>
          <w:rFonts w:hint="eastAsia" w:hAnsi="黑体" w:eastAsia="黑体"/>
          <w:color w:val="000000"/>
          <w:kern w:val="0"/>
          <w:sz w:val="32"/>
          <w:szCs w:val="32"/>
        </w:rPr>
        <w:t>服务供给</w:t>
      </w:r>
    </w:p>
    <w:p>
      <w:pPr>
        <w:autoSpaceDE w:val="0"/>
        <w:autoSpaceDN w:val="0"/>
        <w:adjustRightInd w:val="0"/>
        <w:spacing w:line="578" w:lineRule="exact"/>
        <w:ind w:firstLine="31680" w:firstLineChars="200"/>
        <w:rPr>
          <w:rFonts w:eastAsia="仿宋_GB2312"/>
          <w:color w:val="000000"/>
          <w:kern w:val="0"/>
          <w:sz w:val="32"/>
          <w:szCs w:val="32"/>
        </w:rPr>
      </w:pPr>
      <w:r>
        <w:rPr>
          <w:rFonts w:hint="eastAsia" w:eastAsia="仿宋_GB2312"/>
          <w:b/>
          <w:bCs/>
          <w:color w:val="000000"/>
          <w:kern w:val="0"/>
          <w:sz w:val="32"/>
          <w:szCs w:val="32"/>
        </w:rPr>
        <w:t>第十六条</w:t>
      </w:r>
      <w:r>
        <w:rPr>
          <w:rFonts w:eastAsia="仿宋_GB2312"/>
          <w:b/>
          <w:bCs/>
          <w:color w:val="000000"/>
          <w:kern w:val="0"/>
          <w:sz w:val="32"/>
          <w:szCs w:val="32"/>
        </w:rPr>
        <w:t xml:space="preserve"> </w:t>
      </w:r>
      <w:r>
        <w:rPr>
          <w:rFonts w:hint="eastAsia" w:eastAsia="仿宋_GB2312"/>
          <w:color w:val="000000"/>
          <w:kern w:val="0"/>
          <w:sz w:val="32"/>
          <w:szCs w:val="32"/>
        </w:rPr>
        <w:t>《方案》第二部分第（四）条所称</w:t>
      </w:r>
      <w:r>
        <w:rPr>
          <w:rFonts w:eastAsia="仿宋_GB2312"/>
          <w:color w:val="000000"/>
          <w:kern w:val="0"/>
          <w:sz w:val="32"/>
          <w:szCs w:val="32"/>
        </w:rPr>
        <w:t>“</w:t>
      </w:r>
      <w:r>
        <w:rPr>
          <w:rFonts w:hint="eastAsia" w:eastAsia="仿宋_GB2312"/>
          <w:color w:val="000000"/>
          <w:kern w:val="0"/>
          <w:sz w:val="32"/>
          <w:szCs w:val="32"/>
        </w:rPr>
        <w:t>本市养老机构、医疗机构</w:t>
      </w:r>
      <w:r>
        <w:rPr>
          <w:rFonts w:eastAsia="仿宋_GB2312"/>
          <w:color w:val="000000"/>
          <w:kern w:val="0"/>
          <w:sz w:val="32"/>
          <w:szCs w:val="32"/>
        </w:rPr>
        <w:t>”</w:t>
      </w:r>
      <w:r>
        <w:rPr>
          <w:rFonts w:hint="eastAsia" w:eastAsia="仿宋_GB2312"/>
          <w:color w:val="000000"/>
          <w:kern w:val="0"/>
          <w:sz w:val="32"/>
          <w:szCs w:val="32"/>
        </w:rPr>
        <w:t>，主要是指经注册且具有独立法人资格的本市养老机构、医疗机构，具体以本市卫生健康、编制、市场监管等部门相关资质以及民政备案为准。</w:t>
      </w:r>
      <w:r>
        <w:rPr>
          <w:rFonts w:eastAsia="仿宋_GB2312"/>
          <w:color w:val="000000"/>
          <w:kern w:val="0"/>
          <w:sz w:val="32"/>
          <w:szCs w:val="32"/>
        </w:rPr>
        <w:t>“</w:t>
      </w:r>
      <w:r>
        <w:rPr>
          <w:rFonts w:hint="eastAsia" w:eastAsia="仿宋_GB2312"/>
          <w:color w:val="000000"/>
          <w:kern w:val="0"/>
          <w:sz w:val="32"/>
          <w:szCs w:val="32"/>
        </w:rPr>
        <w:t>社区养老服务设施</w:t>
      </w:r>
      <w:r>
        <w:rPr>
          <w:rFonts w:eastAsia="仿宋_GB2312"/>
          <w:color w:val="000000"/>
          <w:kern w:val="0"/>
          <w:sz w:val="32"/>
          <w:szCs w:val="32"/>
        </w:rPr>
        <w:t>”</w:t>
      </w:r>
      <w:r>
        <w:rPr>
          <w:rFonts w:hint="eastAsia" w:eastAsia="仿宋_GB2312"/>
          <w:color w:val="000000"/>
          <w:kern w:val="0"/>
          <w:sz w:val="32"/>
          <w:szCs w:val="32"/>
        </w:rPr>
        <w:t>包括：日间照料服务中心、居家养老服务中心等。</w:t>
      </w:r>
    </w:p>
    <w:p>
      <w:pPr>
        <w:autoSpaceDE w:val="0"/>
        <w:autoSpaceDN w:val="0"/>
        <w:adjustRightInd w:val="0"/>
        <w:spacing w:line="578" w:lineRule="exact"/>
        <w:ind w:firstLine="31680" w:firstLineChars="200"/>
        <w:rPr>
          <w:rFonts w:eastAsia="仿宋_GB2312"/>
          <w:kern w:val="0"/>
          <w:sz w:val="32"/>
          <w:szCs w:val="32"/>
        </w:rPr>
      </w:pPr>
      <w:r>
        <w:rPr>
          <w:rFonts w:hint="eastAsia" w:eastAsia="仿宋_GB2312"/>
          <w:b/>
          <w:bCs/>
          <w:color w:val="000000"/>
          <w:kern w:val="0"/>
          <w:sz w:val="32"/>
          <w:szCs w:val="32"/>
        </w:rPr>
        <w:t>第十七条</w:t>
      </w:r>
      <w:r>
        <w:rPr>
          <w:rFonts w:eastAsia="仿宋_GB2312"/>
          <w:color w:val="000000"/>
          <w:kern w:val="0"/>
          <w:sz w:val="32"/>
          <w:szCs w:val="32"/>
        </w:rPr>
        <w:t xml:space="preserve"> </w:t>
      </w:r>
      <w:r>
        <w:rPr>
          <w:rFonts w:hint="eastAsia" w:eastAsia="仿宋_GB2312"/>
          <w:color w:val="000000"/>
          <w:kern w:val="0"/>
          <w:sz w:val="32"/>
          <w:szCs w:val="32"/>
        </w:rPr>
        <w:t>《方案》第二部分第（四）条所称</w:t>
      </w:r>
      <w:r>
        <w:rPr>
          <w:rFonts w:eastAsia="仿宋_GB2312"/>
          <w:color w:val="000000"/>
          <w:kern w:val="0"/>
          <w:sz w:val="32"/>
          <w:szCs w:val="32"/>
        </w:rPr>
        <w:t>“</w:t>
      </w:r>
      <w:r>
        <w:rPr>
          <w:rFonts w:hint="eastAsia" w:eastAsia="仿宋_GB2312"/>
          <w:color w:val="000000"/>
          <w:kern w:val="0"/>
          <w:sz w:val="32"/>
          <w:szCs w:val="32"/>
        </w:rPr>
        <w:t>医师、助理医师、护士</w:t>
      </w:r>
      <w:r>
        <w:rPr>
          <w:rFonts w:eastAsia="仿宋_GB2312"/>
          <w:color w:val="000000"/>
          <w:kern w:val="0"/>
          <w:sz w:val="32"/>
          <w:szCs w:val="32"/>
        </w:rPr>
        <w:t>”</w:t>
      </w:r>
      <w:r>
        <w:rPr>
          <w:rFonts w:hint="eastAsia" w:eastAsia="仿宋_GB2312"/>
          <w:color w:val="000000"/>
          <w:kern w:val="0"/>
          <w:sz w:val="32"/>
          <w:szCs w:val="32"/>
        </w:rPr>
        <w:t>是指取得相应资格证的人员；</w:t>
      </w:r>
      <w:r>
        <w:rPr>
          <w:rFonts w:eastAsia="仿宋_GB2312"/>
          <w:color w:val="000000"/>
          <w:kern w:val="0"/>
          <w:sz w:val="32"/>
          <w:szCs w:val="32"/>
        </w:rPr>
        <w:t>“</w:t>
      </w:r>
      <w:r>
        <w:rPr>
          <w:rFonts w:hint="eastAsia" w:eastAsia="仿宋_GB2312"/>
          <w:color w:val="000000"/>
          <w:kern w:val="0"/>
          <w:sz w:val="32"/>
          <w:szCs w:val="32"/>
        </w:rPr>
        <w:t>养老服务相关人员</w:t>
      </w:r>
      <w:r>
        <w:rPr>
          <w:rFonts w:eastAsia="仿宋_GB2312"/>
          <w:color w:val="000000"/>
          <w:kern w:val="0"/>
          <w:sz w:val="32"/>
          <w:szCs w:val="32"/>
        </w:rPr>
        <w:t>”</w:t>
      </w:r>
      <w:r>
        <w:rPr>
          <w:rFonts w:hint="eastAsia" w:eastAsia="仿宋_GB2312"/>
          <w:color w:val="000000"/>
          <w:kern w:val="0"/>
          <w:sz w:val="32"/>
          <w:szCs w:val="32"/>
        </w:rPr>
        <w:t>是指养老护理员、病患护理员、健康照护员、医疗护理员等。参保人员家属、邻居等与定点护理机构签订劳动（劳务）合同后，纳入该机构统一管理，接受定期培训；定点护理机构应合理支付报酬</w:t>
      </w:r>
      <w:r>
        <w:rPr>
          <w:rFonts w:hint="eastAsia" w:eastAsia="仿宋_GB2312"/>
          <w:kern w:val="0"/>
          <w:sz w:val="32"/>
          <w:szCs w:val="32"/>
        </w:rPr>
        <w:t>。鼓励定点护理机构、失能评定机构为服务人员购买第三方责任险</w:t>
      </w:r>
      <w:r>
        <w:rPr>
          <w:rFonts w:hint="eastAsia" w:eastAsia="仿宋_GB2312"/>
          <w:color w:val="000000"/>
          <w:sz w:val="32"/>
          <w:szCs w:val="32"/>
        </w:rPr>
        <w:t>、意外险</w:t>
      </w:r>
      <w:r>
        <w:rPr>
          <w:rFonts w:hint="eastAsia" w:eastAsia="仿宋_GB2312"/>
          <w:kern w:val="0"/>
          <w:sz w:val="32"/>
          <w:szCs w:val="32"/>
        </w:rPr>
        <w:t>。</w:t>
      </w:r>
    </w:p>
    <w:p>
      <w:pPr>
        <w:spacing w:line="578" w:lineRule="exact"/>
        <w:ind w:firstLine="31680" w:firstLineChars="200"/>
        <w:rPr>
          <w:rFonts w:eastAsia="仿宋_GB2312"/>
          <w:sz w:val="32"/>
          <w:szCs w:val="32"/>
        </w:rPr>
      </w:pPr>
      <w:r>
        <w:rPr>
          <w:rFonts w:hint="eastAsia" w:eastAsia="仿宋_GB2312"/>
          <w:b/>
          <w:bCs/>
          <w:sz w:val="32"/>
          <w:szCs w:val="32"/>
        </w:rPr>
        <w:t>第十八条</w:t>
      </w:r>
      <w:r>
        <w:rPr>
          <w:rFonts w:eastAsia="仿宋_GB2312"/>
          <w:sz w:val="32"/>
          <w:szCs w:val="32"/>
        </w:rPr>
        <w:t xml:space="preserve"> </w:t>
      </w:r>
      <w:r>
        <w:rPr>
          <w:rFonts w:hint="eastAsia" w:hAnsi="Calibri" w:eastAsia="仿宋_GB2312"/>
          <w:sz w:val="32"/>
          <w:szCs w:val="32"/>
          <w:lang w:eastAsia="zh-CN"/>
        </w:rPr>
        <w:t>医疗保障</w:t>
      </w:r>
      <w:r>
        <w:rPr>
          <w:rFonts w:hint="eastAsia" w:hAnsi="Calibri" w:eastAsia="仿宋_GB2312"/>
          <w:sz w:val="32"/>
          <w:szCs w:val="32"/>
        </w:rPr>
        <w:t>经办机构组织委托经办机构通过申请、材料审核、现场核查、社会公示等程序，确定失能评定机构、定点护理机构，签订三方服务协议，明确权利与义务。</w:t>
      </w:r>
    </w:p>
    <w:p>
      <w:pPr>
        <w:spacing w:line="578" w:lineRule="exact"/>
        <w:ind w:firstLine="640"/>
        <w:rPr>
          <w:rFonts w:eastAsia="仿宋_GB2312"/>
          <w:sz w:val="32"/>
          <w:szCs w:val="32"/>
        </w:rPr>
      </w:pPr>
      <w:r>
        <w:rPr>
          <w:rFonts w:hint="eastAsia" w:eastAsia="仿宋_GB2312"/>
          <w:b/>
          <w:bCs/>
          <w:color w:val="000000"/>
          <w:sz w:val="32"/>
          <w:szCs w:val="32"/>
        </w:rPr>
        <w:t>第十九条</w:t>
      </w:r>
      <w:r>
        <w:rPr>
          <w:rFonts w:eastAsia="仿宋_GB2312"/>
          <w:b/>
          <w:bCs/>
          <w:color w:val="000000"/>
          <w:sz w:val="32"/>
          <w:szCs w:val="32"/>
        </w:rPr>
        <w:t xml:space="preserve"> </w:t>
      </w:r>
      <w:r>
        <w:rPr>
          <w:rFonts w:hint="eastAsia" w:eastAsia="仿宋_GB2312"/>
          <w:sz w:val="32"/>
          <w:szCs w:val="32"/>
        </w:rPr>
        <w:t>定点护理机构可单独或同时提供机构护理或者居家护理服务。委托经办机构应在系统中</w:t>
      </w:r>
      <w:r>
        <w:rPr>
          <w:rFonts w:hint="eastAsia" w:eastAsia="仿宋_GB2312"/>
          <w:sz w:val="32"/>
          <w:szCs w:val="32"/>
          <w:lang w:eastAsia="zh-CN"/>
        </w:rPr>
        <w:t>限定</w:t>
      </w:r>
      <w:bookmarkStart w:id="0" w:name="_GoBack"/>
      <w:bookmarkEnd w:id="0"/>
      <w:r>
        <w:rPr>
          <w:rFonts w:hint="eastAsia" w:eastAsia="仿宋_GB2312"/>
          <w:sz w:val="32"/>
          <w:szCs w:val="32"/>
        </w:rPr>
        <w:t>定点护理机构所能提供的服务形式。</w:t>
      </w:r>
    </w:p>
    <w:p>
      <w:pPr>
        <w:autoSpaceDE w:val="0"/>
        <w:autoSpaceDN w:val="0"/>
        <w:adjustRightInd w:val="0"/>
        <w:spacing w:line="578" w:lineRule="exact"/>
        <w:ind w:firstLine="31680" w:firstLineChars="200"/>
        <w:rPr>
          <w:rFonts w:eastAsia="仿宋_GB2312"/>
          <w:color w:val="000000"/>
          <w:sz w:val="32"/>
          <w:szCs w:val="32"/>
        </w:rPr>
      </w:pPr>
      <w:r>
        <w:rPr>
          <w:rFonts w:hint="eastAsia" w:eastAsia="仿宋_GB2312"/>
          <w:b/>
          <w:bCs/>
          <w:color w:val="000000"/>
          <w:sz w:val="32"/>
          <w:szCs w:val="32"/>
        </w:rPr>
        <w:t>第二十条</w:t>
      </w:r>
      <w:r>
        <w:rPr>
          <w:rFonts w:eastAsia="仿宋_GB2312"/>
          <w:b/>
          <w:bCs/>
          <w:color w:val="000000"/>
          <w:sz w:val="32"/>
          <w:szCs w:val="32"/>
        </w:rPr>
        <w:t xml:space="preserve"> </w:t>
      </w:r>
      <w:r>
        <w:rPr>
          <w:rFonts w:hint="eastAsia" w:eastAsia="仿宋_GB2312"/>
          <w:color w:val="000000"/>
          <w:sz w:val="32"/>
          <w:szCs w:val="32"/>
        </w:rPr>
        <w:t>纳入定点护理机构管理且申请开展机构护理服务的医疗机构，应当设置相对独立管理的护理病区和护理床位</w:t>
      </w:r>
      <w:r>
        <w:rPr>
          <w:rFonts w:hint="eastAsia" w:eastAsia="仿宋_GB2312"/>
          <w:color w:val="000000"/>
          <w:sz w:val="32"/>
          <w:szCs w:val="32"/>
          <w:lang w:eastAsia="zh-CN"/>
        </w:rPr>
        <w:t>，可将内科、老年病学科、临终关怀科、康复医学科、安宁疗护等相关科室的部分病区作为护理病区，部分床位作为护理床位</w:t>
      </w:r>
      <w:r>
        <w:rPr>
          <w:rFonts w:hint="eastAsia" w:eastAsia="仿宋_GB2312"/>
          <w:color w:val="000000"/>
          <w:sz w:val="32"/>
          <w:szCs w:val="32"/>
        </w:rPr>
        <w:t>。设置护理床位的，在计算基本医疗保险服务能力时予以相应调整。</w:t>
      </w:r>
    </w:p>
    <w:p>
      <w:pPr>
        <w:autoSpaceDE w:val="0"/>
        <w:autoSpaceDN w:val="0"/>
        <w:adjustRightInd w:val="0"/>
        <w:spacing w:line="578" w:lineRule="exact"/>
        <w:ind w:firstLine="31680" w:firstLineChars="200"/>
        <w:rPr>
          <w:rFonts w:eastAsia="仿宋_GB2312"/>
          <w:color w:val="000000"/>
          <w:sz w:val="32"/>
          <w:szCs w:val="32"/>
        </w:rPr>
      </w:pPr>
      <w:r>
        <w:rPr>
          <w:rFonts w:hint="eastAsia" w:eastAsia="仿宋_GB2312"/>
          <w:b/>
          <w:color w:val="000000"/>
          <w:sz w:val="32"/>
          <w:szCs w:val="32"/>
        </w:rPr>
        <w:t>第二十一条</w:t>
      </w:r>
      <w:r>
        <w:rPr>
          <w:rFonts w:eastAsia="仿宋_GB2312"/>
          <w:color w:val="000000"/>
          <w:sz w:val="32"/>
          <w:szCs w:val="32"/>
        </w:rPr>
        <w:t xml:space="preserve"> </w:t>
      </w:r>
      <w:r>
        <w:rPr>
          <w:rFonts w:hint="eastAsia" w:eastAsia="仿宋_GB2312"/>
          <w:color w:val="000000"/>
          <w:sz w:val="32"/>
          <w:szCs w:val="32"/>
        </w:rPr>
        <w:t>定点护理机构应建立护理服务的档案并加强管理。</w:t>
      </w:r>
      <w:r>
        <w:rPr>
          <w:rFonts w:hint="eastAsia" w:hAnsi="Calibri" w:eastAsia="仿宋_GB2312"/>
          <w:color w:val="000000"/>
          <w:kern w:val="0"/>
          <w:sz w:val="32"/>
          <w:szCs w:val="32"/>
        </w:rPr>
        <w:t>提供机构护理或居家护理服务，应合理制定护理服务计划并签订协议，护理服务计划报委托经办机构，明确相关服务项目、内容、频次、时间，以及双方权利义务。</w:t>
      </w:r>
    </w:p>
    <w:p>
      <w:pPr>
        <w:widowControl/>
        <w:spacing w:line="578" w:lineRule="exact"/>
        <w:ind w:firstLine="31680" w:firstLineChars="200"/>
        <w:rPr>
          <w:rFonts w:eastAsia="仿宋_GB2312"/>
          <w:kern w:val="0"/>
          <w:sz w:val="32"/>
          <w:szCs w:val="32"/>
        </w:rPr>
      </w:pPr>
      <w:r>
        <w:rPr>
          <w:rFonts w:hint="eastAsia" w:eastAsia="仿宋_GB2312"/>
          <w:b/>
          <w:bCs/>
          <w:sz w:val="32"/>
          <w:szCs w:val="32"/>
        </w:rPr>
        <w:t>第二十二条</w:t>
      </w:r>
      <w:r>
        <w:rPr>
          <w:rFonts w:eastAsia="仿宋_GB2312"/>
          <w:b/>
          <w:bCs/>
          <w:sz w:val="32"/>
          <w:szCs w:val="32"/>
        </w:rPr>
        <w:t xml:space="preserve"> </w:t>
      </w:r>
      <w:r>
        <w:rPr>
          <w:rFonts w:hint="eastAsia" w:eastAsia="仿宋_GB2312"/>
          <w:kern w:val="0"/>
          <w:sz w:val="32"/>
          <w:szCs w:val="32"/>
        </w:rPr>
        <w:t>《方案》第二部分第（五）条中</w:t>
      </w:r>
      <w:r>
        <w:rPr>
          <w:rFonts w:eastAsia="仿宋_GB2312"/>
          <w:kern w:val="0"/>
          <w:sz w:val="32"/>
          <w:szCs w:val="32"/>
        </w:rPr>
        <w:t>“</w:t>
      </w:r>
      <w:r>
        <w:rPr>
          <w:rFonts w:hint="eastAsia" w:eastAsia="仿宋_GB2312"/>
          <w:kern w:val="0"/>
          <w:sz w:val="32"/>
          <w:szCs w:val="32"/>
        </w:rPr>
        <w:t>市医疗保障经办机构负责提供长期护理保险经办服务</w:t>
      </w:r>
      <w:r>
        <w:rPr>
          <w:rFonts w:eastAsia="仿宋_GB2312"/>
          <w:kern w:val="0"/>
          <w:sz w:val="32"/>
          <w:szCs w:val="32"/>
        </w:rPr>
        <w:t>”</w:t>
      </w:r>
      <w:r>
        <w:rPr>
          <w:rFonts w:hint="eastAsia" w:eastAsia="仿宋_GB2312"/>
          <w:kern w:val="0"/>
          <w:sz w:val="32"/>
          <w:szCs w:val="32"/>
        </w:rPr>
        <w:t>，所称</w:t>
      </w:r>
      <w:r>
        <w:rPr>
          <w:rFonts w:eastAsia="仿宋_GB2312"/>
          <w:kern w:val="0"/>
          <w:sz w:val="32"/>
          <w:szCs w:val="32"/>
        </w:rPr>
        <w:t>“</w:t>
      </w:r>
      <w:r>
        <w:rPr>
          <w:rFonts w:hint="eastAsia" w:eastAsia="仿宋_GB2312"/>
          <w:kern w:val="0"/>
          <w:sz w:val="32"/>
          <w:szCs w:val="32"/>
        </w:rPr>
        <w:t>经办服务</w:t>
      </w:r>
      <w:r>
        <w:rPr>
          <w:rFonts w:eastAsia="仿宋_GB2312"/>
          <w:kern w:val="0"/>
          <w:sz w:val="32"/>
          <w:szCs w:val="32"/>
        </w:rPr>
        <w:t>”</w:t>
      </w:r>
      <w:r>
        <w:rPr>
          <w:rFonts w:hint="eastAsia" w:eastAsia="仿宋_GB2312"/>
          <w:kern w:val="0"/>
          <w:sz w:val="32"/>
          <w:szCs w:val="32"/>
        </w:rPr>
        <w:t>主要包括：</w:t>
      </w:r>
    </w:p>
    <w:p>
      <w:pPr>
        <w:widowControl/>
        <w:spacing w:line="578" w:lineRule="exact"/>
        <w:ind w:firstLine="31680" w:firstLineChars="200"/>
        <w:rPr>
          <w:rFonts w:eastAsia="仿宋_GB2312"/>
          <w:sz w:val="32"/>
          <w:szCs w:val="32"/>
        </w:rPr>
      </w:pPr>
      <w:r>
        <w:rPr>
          <w:rFonts w:hint="eastAsia" w:eastAsia="仿宋_GB2312"/>
          <w:sz w:val="32"/>
          <w:szCs w:val="32"/>
        </w:rPr>
        <w:t>（一）委托经办机构的招标、监督与管理；</w:t>
      </w:r>
    </w:p>
    <w:p>
      <w:pPr>
        <w:widowControl/>
        <w:spacing w:line="578" w:lineRule="exact"/>
        <w:ind w:firstLine="31680" w:firstLineChars="200"/>
        <w:rPr>
          <w:rFonts w:eastAsia="仿宋_GB2312"/>
          <w:sz w:val="32"/>
          <w:szCs w:val="32"/>
        </w:rPr>
      </w:pPr>
      <w:r>
        <w:rPr>
          <w:rFonts w:hint="eastAsia" w:eastAsia="仿宋_GB2312"/>
          <w:sz w:val="32"/>
          <w:szCs w:val="32"/>
        </w:rPr>
        <w:t>（二）制定长期护理保险经办意见，定点护理机构、失能评定机构及其人员协议考核管理办法，建立退出机制；</w:t>
      </w:r>
    </w:p>
    <w:p>
      <w:pPr>
        <w:widowControl/>
        <w:spacing w:line="578" w:lineRule="exact"/>
        <w:ind w:firstLine="31680" w:firstLineChars="200"/>
        <w:rPr>
          <w:rFonts w:eastAsia="仿宋_GB2312"/>
          <w:sz w:val="32"/>
          <w:szCs w:val="32"/>
        </w:rPr>
      </w:pPr>
      <w:r>
        <w:rPr>
          <w:rFonts w:hint="eastAsia" w:eastAsia="仿宋_GB2312"/>
          <w:sz w:val="32"/>
          <w:szCs w:val="32"/>
        </w:rPr>
        <w:t>（三）指导委托经办机构制定长期护理保险服务标准及技术规范；</w:t>
      </w:r>
    </w:p>
    <w:p>
      <w:pPr>
        <w:widowControl/>
        <w:spacing w:line="578" w:lineRule="exact"/>
        <w:ind w:firstLine="31680" w:firstLineChars="200"/>
        <w:rPr>
          <w:rFonts w:eastAsia="仿宋_GB2312"/>
          <w:sz w:val="32"/>
          <w:szCs w:val="32"/>
        </w:rPr>
      </w:pPr>
      <w:r>
        <w:rPr>
          <w:rFonts w:hint="eastAsia" w:eastAsia="仿宋_GB2312"/>
          <w:sz w:val="32"/>
          <w:szCs w:val="32"/>
        </w:rPr>
        <w:t>（四）组织委托经办机构确定定点护理机构、失能评定机构，签订三方服务协议，统筹做好协议管理工作；</w:t>
      </w:r>
    </w:p>
    <w:p>
      <w:pPr>
        <w:widowControl/>
        <w:spacing w:line="578" w:lineRule="exact"/>
        <w:ind w:firstLine="31680" w:firstLineChars="200"/>
        <w:rPr>
          <w:rFonts w:eastAsia="仿宋_GB2312"/>
          <w:sz w:val="32"/>
          <w:szCs w:val="32"/>
        </w:rPr>
      </w:pPr>
      <w:r>
        <w:rPr>
          <w:rFonts w:hint="eastAsia" w:eastAsia="仿宋_GB2312"/>
          <w:sz w:val="32"/>
          <w:szCs w:val="32"/>
        </w:rPr>
        <w:t>（五）长期护理保险费用划拨和清算工作；</w:t>
      </w:r>
    </w:p>
    <w:p>
      <w:pPr>
        <w:widowControl/>
        <w:spacing w:line="578" w:lineRule="exact"/>
        <w:ind w:firstLine="31680" w:firstLineChars="200"/>
        <w:rPr>
          <w:rFonts w:eastAsia="仿宋_GB2312"/>
          <w:sz w:val="32"/>
          <w:szCs w:val="32"/>
        </w:rPr>
      </w:pPr>
      <w:r>
        <w:rPr>
          <w:rFonts w:hint="eastAsia" w:eastAsia="仿宋_GB2312"/>
          <w:sz w:val="32"/>
          <w:szCs w:val="32"/>
        </w:rPr>
        <w:t>（六）委托经办机构考核工作；</w:t>
      </w:r>
    </w:p>
    <w:p>
      <w:pPr>
        <w:widowControl/>
        <w:spacing w:line="578" w:lineRule="exact"/>
        <w:ind w:firstLine="31680" w:firstLineChars="200"/>
        <w:rPr>
          <w:rFonts w:eastAsia="仿宋_GB2312"/>
          <w:sz w:val="32"/>
          <w:szCs w:val="32"/>
        </w:rPr>
      </w:pPr>
      <w:r>
        <w:rPr>
          <w:rFonts w:hint="eastAsia" w:eastAsia="仿宋_GB2312"/>
          <w:sz w:val="32"/>
          <w:szCs w:val="32"/>
        </w:rPr>
        <w:t>（七）其他经办服务管理工作。</w:t>
      </w:r>
    </w:p>
    <w:p>
      <w:pPr>
        <w:widowControl/>
        <w:spacing w:line="578" w:lineRule="exact"/>
        <w:ind w:firstLine="31680" w:firstLineChars="200"/>
        <w:rPr>
          <w:rFonts w:eastAsia="仿宋_GB2312"/>
          <w:sz w:val="32"/>
          <w:szCs w:val="32"/>
        </w:rPr>
      </w:pPr>
      <w:r>
        <w:rPr>
          <w:rFonts w:hint="eastAsia" w:eastAsia="仿宋_GB2312"/>
          <w:b/>
          <w:bCs/>
          <w:sz w:val="32"/>
          <w:szCs w:val="32"/>
        </w:rPr>
        <w:t>第二十三条</w:t>
      </w:r>
      <w:r>
        <w:rPr>
          <w:rFonts w:eastAsia="仿宋_GB2312"/>
          <w:sz w:val="32"/>
          <w:szCs w:val="32"/>
        </w:rPr>
        <w:t xml:space="preserve"> </w:t>
      </w:r>
      <w:r>
        <w:rPr>
          <w:rFonts w:hint="eastAsia" w:eastAsia="仿宋_GB2312"/>
          <w:kern w:val="0"/>
          <w:sz w:val="32"/>
          <w:szCs w:val="32"/>
        </w:rPr>
        <w:t>《方案》第二部分第（五）条</w:t>
      </w:r>
      <w:r>
        <w:rPr>
          <w:rFonts w:eastAsia="仿宋_GB2312"/>
          <w:kern w:val="0"/>
          <w:sz w:val="32"/>
          <w:szCs w:val="32"/>
        </w:rPr>
        <w:t>“</w:t>
      </w:r>
      <w:r>
        <w:rPr>
          <w:rFonts w:hint="eastAsia" w:eastAsia="仿宋_GB2312"/>
          <w:kern w:val="0"/>
          <w:sz w:val="32"/>
          <w:szCs w:val="32"/>
        </w:rPr>
        <w:t>通过公开招标方式将部分经办业务委托具有相应资质的商业保险机构办理</w:t>
      </w:r>
      <w:r>
        <w:rPr>
          <w:rFonts w:eastAsia="仿宋_GB2312"/>
          <w:kern w:val="0"/>
          <w:sz w:val="32"/>
          <w:szCs w:val="32"/>
        </w:rPr>
        <w:t>”</w:t>
      </w:r>
      <w:r>
        <w:rPr>
          <w:rFonts w:hint="eastAsia" w:eastAsia="仿宋_GB2312"/>
          <w:kern w:val="0"/>
          <w:sz w:val="32"/>
          <w:szCs w:val="32"/>
        </w:rPr>
        <w:t>，所称</w:t>
      </w:r>
      <w:r>
        <w:rPr>
          <w:rFonts w:eastAsia="仿宋_GB2312"/>
          <w:kern w:val="0"/>
          <w:sz w:val="32"/>
          <w:szCs w:val="32"/>
        </w:rPr>
        <w:t>“</w:t>
      </w:r>
      <w:r>
        <w:rPr>
          <w:rFonts w:hint="eastAsia" w:eastAsia="仿宋_GB2312"/>
          <w:kern w:val="0"/>
          <w:sz w:val="32"/>
          <w:szCs w:val="32"/>
        </w:rPr>
        <w:t>部分经办业务</w:t>
      </w:r>
      <w:r>
        <w:rPr>
          <w:rFonts w:eastAsia="仿宋_GB2312"/>
          <w:kern w:val="0"/>
          <w:sz w:val="32"/>
          <w:szCs w:val="32"/>
        </w:rPr>
        <w:t>”</w:t>
      </w:r>
      <w:r>
        <w:rPr>
          <w:rFonts w:hint="eastAsia" w:eastAsia="仿宋_GB2312"/>
          <w:kern w:val="0"/>
          <w:sz w:val="32"/>
          <w:szCs w:val="32"/>
        </w:rPr>
        <w:t>主要包括</w:t>
      </w:r>
      <w:r>
        <w:rPr>
          <w:rFonts w:hint="eastAsia" w:eastAsia="仿宋_GB2312"/>
          <w:sz w:val="32"/>
          <w:szCs w:val="32"/>
        </w:rPr>
        <w:t>：</w:t>
      </w:r>
    </w:p>
    <w:p>
      <w:pPr>
        <w:widowControl/>
        <w:spacing w:line="578" w:lineRule="exact"/>
        <w:ind w:firstLine="31680" w:firstLineChars="200"/>
        <w:rPr>
          <w:rFonts w:eastAsia="仿宋_GB2312"/>
          <w:sz w:val="32"/>
          <w:szCs w:val="32"/>
        </w:rPr>
      </w:pPr>
      <w:r>
        <w:rPr>
          <w:rFonts w:hint="eastAsia" w:eastAsia="仿宋_GB2312"/>
          <w:sz w:val="32"/>
          <w:szCs w:val="32"/>
        </w:rPr>
        <w:t>（一）开展政策咨询、投诉举报、评定人员规范化培训；</w:t>
      </w:r>
    </w:p>
    <w:p>
      <w:pPr>
        <w:widowControl/>
        <w:spacing w:line="578" w:lineRule="exact"/>
        <w:ind w:firstLine="31680" w:firstLineChars="200"/>
        <w:rPr>
          <w:rFonts w:eastAsia="仿宋_GB2312"/>
          <w:sz w:val="32"/>
          <w:szCs w:val="32"/>
        </w:rPr>
      </w:pPr>
      <w:r>
        <w:rPr>
          <w:rFonts w:hint="eastAsia" w:eastAsia="仿宋_GB2312"/>
          <w:sz w:val="32"/>
          <w:szCs w:val="32"/>
        </w:rPr>
        <w:t>（二）按规定确定定点护理机构、失能评定机构，签订三方服务协议，具体实施日常协议管理工作；</w:t>
      </w:r>
    </w:p>
    <w:p>
      <w:pPr>
        <w:widowControl/>
        <w:spacing w:line="578" w:lineRule="exact"/>
        <w:ind w:firstLine="31680" w:firstLineChars="200"/>
        <w:rPr>
          <w:rFonts w:eastAsia="仿宋_GB2312"/>
          <w:sz w:val="32"/>
          <w:szCs w:val="32"/>
        </w:rPr>
      </w:pPr>
      <w:r>
        <w:rPr>
          <w:rFonts w:hint="eastAsia" w:eastAsia="仿宋_GB2312"/>
          <w:sz w:val="32"/>
          <w:szCs w:val="32"/>
        </w:rPr>
        <w:t>（三）定点护理机构和失能评定机构人员实名制管理；</w:t>
      </w:r>
    </w:p>
    <w:p>
      <w:pPr>
        <w:widowControl/>
        <w:spacing w:line="578" w:lineRule="exact"/>
        <w:ind w:firstLine="31680" w:firstLineChars="200"/>
        <w:rPr>
          <w:rFonts w:eastAsia="仿宋_GB2312"/>
          <w:sz w:val="32"/>
          <w:szCs w:val="32"/>
        </w:rPr>
      </w:pPr>
      <w:r>
        <w:rPr>
          <w:rFonts w:hint="eastAsia" w:eastAsia="仿宋_GB2312"/>
          <w:sz w:val="32"/>
          <w:szCs w:val="32"/>
        </w:rPr>
        <w:t>（四）长期护理保险费用审核、结算和支付等工作；</w:t>
      </w:r>
    </w:p>
    <w:p>
      <w:pPr>
        <w:widowControl/>
        <w:spacing w:line="578" w:lineRule="exact"/>
        <w:ind w:firstLine="31680" w:firstLineChars="200"/>
        <w:rPr>
          <w:rFonts w:eastAsia="仿宋_GB2312"/>
          <w:sz w:val="32"/>
          <w:szCs w:val="32"/>
        </w:rPr>
      </w:pPr>
      <w:r>
        <w:rPr>
          <w:rFonts w:hint="eastAsia" w:eastAsia="仿宋_GB2312"/>
          <w:sz w:val="32"/>
          <w:szCs w:val="32"/>
        </w:rPr>
        <w:t>（五）定点护理机构和失能评定机构日常巡查、抽查随访、满意度调查等工作；</w:t>
      </w:r>
    </w:p>
    <w:p>
      <w:pPr>
        <w:widowControl/>
        <w:spacing w:line="578" w:lineRule="exact"/>
        <w:ind w:firstLine="31680" w:firstLineChars="200"/>
        <w:rPr>
          <w:rFonts w:eastAsia="仿宋_GB2312"/>
          <w:sz w:val="32"/>
          <w:szCs w:val="32"/>
        </w:rPr>
      </w:pPr>
      <w:r>
        <w:rPr>
          <w:rFonts w:hint="eastAsia" w:eastAsia="仿宋_GB2312"/>
          <w:sz w:val="32"/>
          <w:szCs w:val="32"/>
        </w:rPr>
        <w:t>（六）定点护理机构、失能评定机构考核清算等工作；</w:t>
      </w:r>
    </w:p>
    <w:p>
      <w:pPr>
        <w:widowControl/>
        <w:spacing w:line="578" w:lineRule="exact"/>
        <w:ind w:firstLine="31680" w:firstLineChars="200"/>
        <w:rPr>
          <w:rFonts w:eastAsia="仿宋_GB2312"/>
          <w:sz w:val="32"/>
          <w:szCs w:val="32"/>
        </w:rPr>
      </w:pPr>
      <w:r>
        <w:rPr>
          <w:rFonts w:hint="eastAsia" w:eastAsia="仿宋_GB2312"/>
          <w:sz w:val="32"/>
          <w:szCs w:val="32"/>
        </w:rPr>
        <w:t>（七）长期护理保险相关档案管理；</w:t>
      </w:r>
    </w:p>
    <w:p>
      <w:pPr>
        <w:widowControl/>
        <w:spacing w:line="578" w:lineRule="exact"/>
        <w:ind w:firstLine="31680" w:firstLineChars="200"/>
        <w:rPr>
          <w:rFonts w:eastAsia="仿宋_GB2312"/>
          <w:sz w:val="32"/>
          <w:szCs w:val="32"/>
        </w:rPr>
      </w:pPr>
      <w:r>
        <w:rPr>
          <w:rFonts w:hint="eastAsia" w:eastAsia="仿宋_GB2312"/>
          <w:sz w:val="32"/>
          <w:szCs w:val="32"/>
        </w:rPr>
        <w:t>（八）其他委托经办的业务。</w:t>
      </w:r>
    </w:p>
    <w:p>
      <w:pPr>
        <w:autoSpaceDE w:val="0"/>
        <w:autoSpaceDN w:val="0"/>
        <w:adjustRightInd w:val="0"/>
        <w:spacing w:line="578" w:lineRule="exact"/>
        <w:ind w:firstLine="31680" w:firstLineChars="200"/>
        <w:rPr>
          <w:rFonts w:eastAsia="仿宋_GB2312"/>
          <w:color w:val="000000"/>
          <w:kern w:val="0"/>
          <w:sz w:val="32"/>
          <w:szCs w:val="32"/>
        </w:rPr>
      </w:pPr>
      <w:r>
        <w:rPr>
          <w:rFonts w:hint="eastAsia" w:eastAsia="仿宋_GB2312"/>
          <w:b/>
          <w:bCs/>
          <w:color w:val="000000"/>
          <w:kern w:val="0"/>
          <w:sz w:val="32"/>
          <w:szCs w:val="32"/>
        </w:rPr>
        <w:t>第二十四条</w:t>
      </w:r>
      <w:r>
        <w:rPr>
          <w:rFonts w:eastAsia="仿宋_GB2312"/>
          <w:color w:val="000000"/>
          <w:kern w:val="0"/>
          <w:sz w:val="32"/>
          <w:szCs w:val="32"/>
        </w:rPr>
        <w:t xml:space="preserve"> </w:t>
      </w:r>
      <w:r>
        <w:rPr>
          <w:rFonts w:hint="eastAsia" w:eastAsia="仿宋_GB2312"/>
          <w:color w:val="000000"/>
          <w:kern w:val="0"/>
          <w:sz w:val="32"/>
          <w:szCs w:val="32"/>
        </w:rPr>
        <w:t>《方案》第二部分第（五）条</w:t>
      </w:r>
      <w:r>
        <w:rPr>
          <w:rFonts w:hint="eastAsia" w:eastAsia="仿宋_GB2312"/>
          <w:color w:val="000000"/>
          <w:sz w:val="32"/>
          <w:szCs w:val="32"/>
        </w:rPr>
        <w:t>所称</w:t>
      </w:r>
      <w:r>
        <w:rPr>
          <w:rFonts w:eastAsia="仿宋_GB2312"/>
          <w:color w:val="000000"/>
          <w:kern w:val="0"/>
          <w:sz w:val="32"/>
          <w:szCs w:val="32"/>
        </w:rPr>
        <w:t>“</w:t>
      </w:r>
      <w:r>
        <w:rPr>
          <w:rFonts w:hint="eastAsia" w:eastAsia="仿宋_GB2312"/>
          <w:color w:val="000000"/>
          <w:kern w:val="0"/>
          <w:sz w:val="32"/>
          <w:szCs w:val="32"/>
        </w:rPr>
        <w:t>具有相应资质的商业保险机构</w:t>
      </w:r>
      <w:r>
        <w:rPr>
          <w:rFonts w:eastAsia="仿宋_GB2312"/>
          <w:color w:val="000000"/>
          <w:kern w:val="0"/>
          <w:sz w:val="32"/>
          <w:szCs w:val="32"/>
        </w:rPr>
        <w:t>”</w:t>
      </w:r>
      <w:r>
        <w:rPr>
          <w:rFonts w:hint="eastAsia" w:eastAsia="仿宋_GB2312"/>
          <w:color w:val="000000"/>
          <w:kern w:val="0"/>
          <w:sz w:val="32"/>
          <w:szCs w:val="32"/>
        </w:rPr>
        <w:t>，主要是指依法成立且具有健康保险经营资质，并在本市设有分支机构的商业保险机构。鼓励同一保险集团公司整合资源参与长期护理保险经办业务。</w:t>
      </w:r>
    </w:p>
    <w:p>
      <w:pPr>
        <w:autoSpaceDE w:val="0"/>
        <w:autoSpaceDN w:val="0"/>
        <w:adjustRightInd w:val="0"/>
        <w:spacing w:line="578" w:lineRule="exact"/>
        <w:ind w:firstLine="31680" w:firstLineChars="200"/>
        <w:rPr>
          <w:rFonts w:eastAsia="仿宋_GB2312"/>
          <w:kern w:val="0"/>
          <w:sz w:val="32"/>
          <w:szCs w:val="32"/>
        </w:rPr>
      </w:pPr>
      <w:r>
        <w:rPr>
          <w:rFonts w:hint="eastAsia" w:eastAsia="仿宋_GB2312"/>
          <w:b/>
          <w:bCs/>
          <w:kern w:val="0"/>
          <w:sz w:val="32"/>
          <w:szCs w:val="32"/>
        </w:rPr>
        <w:t>第二十五条</w:t>
      </w:r>
      <w:r>
        <w:rPr>
          <w:rFonts w:eastAsia="仿宋_GB2312"/>
          <w:sz w:val="32"/>
          <w:szCs w:val="32"/>
        </w:rPr>
        <w:t xml:space="preserve"> </w:t>
      </w:r>
      <w:r>
        <w:rPr>
          <w:rFonts w:hint="eastAsia" w:eastAsia="仿宋_GB2312"/>
          <w:sz w:val="32"/>
          <w:szCs w:val="32"/>
        </w:rPr>
        <w:t>委托经办机构应按照市医疗保障经办机构标准规范，设立单独的服务场所、服务设施等，并按照一定比例匹配经办管理人员。服务场所应当报市医疗保障经办机构后，向社会公示。委托经办机构不得在服务场所从事商业保险销售活动。</w:t>
      </w:r>
    </w:p>
    <w:p>
      <w:pPr>
        <w:autoSpaceDE w:val="0"/>
        <w:autoSpaceDN w:val="0"/>
        <w:adjustRightInd w:val="0"/>
        <w:spacing w:line="578" w:lineRule="exact"/>
        <w:ind w:firstLine="31680" w:firstLineChars="200"/>
        <w:rPr>
          <w:rFonts w:eastAsia="仿宋_GB2312"/>
          <w:color w:val="000000"/>
          <w:sz w:val="32"/>
          <w:szCs w:val="32"/>
        </w:rPr>
      </w:pPr>
      <w:r>
        <w:rPr>
          <w:rFonts w:eastAsia="仿宋_GB2312"/>
          <w:color w:val="000000"/>
          <w:sz w:val="32"/>
          <w:szCs w:val="32"/>
        </w:rPr>
        <w:t xml:space="preserve"> </w:t>
      </w:r>
    </w:p>
    <w:p>
      <w:pPr>
        <w:widowControl/>
        <w:spacing w:line="578" w:lineRule="exact"/>
        <w:jc w:val="center"/>
        <w:rPr>
          <w:rFonts w:eastAsia="黑体"/>
          <w:sz w:val="32"/>
          <w:szCs w:val="32"/>
        </w:rPr>
      </w:pPr>
      <w:r>
        <w:rPr>
          <w:rFonts w:hint="eastAsia" w:hAnsi="黑体" w:eastAsia="黑体"/>
          <w:sz w:val="32"/>
          <w:szCs w:val="32"/>
        </w:rPr>
        <w:t>第五章</w:t>
      </w:r>
      <w:r>
        <w:rPr>
          <w:rFonts w:eastAsia="黑体"/>
          <w:sz w:val="32"/>
          <w:szCs w:val="32"/>
        </w:rPr>
        <w:t xml:space="preserve"> </w:t>
      </w:r>
      <w:r>
        <w:rPr>
          <w:rFonts w:hint="eastAsia" w:hAnsi="黑体" w:eastAsia="黑体"/>
          <w:sz w:val="32"/>
          <w:szCs w:val="32"/>
        </w:rPr>
        <w:t>资金管理</w:t>
      </w:r>
    </w:p>
    <w:p>
      <w:pPr>
        <w:autoSpaceDE w:val="0"/>
        <w:autoSpaceDN w:val="0"/>
        <w:adjustRightInd w:val="0"/>
        <w:spacing w:line="578" w:lineRule="exact"/>
        <w:ind w:firstLine="31680" w:firstLineChars="200"/>
        <w:rPr>
          <w:rFonts w:eastAsia="仿宋_GB2312"/>
          <w:color w:val="000000"/>
          <w:kern w:val="0"/>
          <w:sz w:val="32"/>
          <w:szCs w:val="32"/>
        </w:rPr>
      </w:pPr>
      <w:r>
        <w:rPr>
          <w:rFonts w:hint="eastAsia" w:eastAsia="仿宋_GB2312"/>
          <w:b/>
          <w:bCs/>
          <w:color w:val="000000"/>
          <w:sz w:val="32"/>
          <w:szCs w:val="32"/>
        </w:rPr>
        <w:t>第二十六条</w:t>
      </w:r>
      <w:r>
        <w:rPr>
          <w:rFonts w:eastAsia="仿宋_GB2312"/>
          <w:color w:val="000000"/>
          <w:kern w:val="0"/>
          <w:sz w:val="32"/>
          <w:szCs w:val="32"/>
        </w:rPr>
        <w:t xml:space="preserve"> </w:t>
      </w:r>
      <w:r>
        <w:rPr>
          <w:rFonts w:hint="eastAsia" w:hAnsi="Calibri" w:eastAsia="仿宋_GB2312"/>
          <w:sz w:val="32"/>
          <w:szCs w:val="32"/>
        </w:rPr>
        <w:t>长期护理保险单位缴费部分由市财政部门根据市医疗保障</w:t>
      </w:r>
      <w:r>
        <w:rPr>
          <w:rFonts w:hint="eastAsia" w:hAnsi="Calibri" w:eastAsia="仿宋_GB2312"/>
          <w:sz w:val="32"/>
          <w:szCs w:val="32"/>
          <w:lang w:eastAsia="zh-CN"/>
        </w:rPr>
        <w:t>部门</w:t>
      </w:r>
      <w:r>
        <w:rPr>
          <w:rFonts w:hint="eastAsia" w:hAnsi="Calibri" w:eastAsia="仿宋_GB2312"/>
          <w:sz w:val="32"/>
          <w:szCs w:val="32"/>
        </w:rPr>
        <w:t>提供的参保缴费人数从职工基本医疗保险费中按月划入财政专户，个人缴费部分由市医疗保障经办机构从城镇职工大额医疗救助资金中按月上解财政专户。</w:t>
      </w:r>
    </w:p>
    <w:p>
      <w:pPr>
        <w:autoSpaceDE w:val="0"/>
        <w:autoSpaceDN w:val="0"/>
        <w:adjustRightInd w:val="0"/>
        <w:spacing w:line="578" w:lineRule="exact"/>
        <w:ind w:firstLine="31680" w:firstLineChars="200"/>
        <w:rPr>
          <w:rFonts w:eastAsia="仿宋_GB2312"/>
          <w:color w:val="000000"/>
          <w:sz w:val="32"/>
          <w:szCs w:val="32"/>
        </w:rPr>
      </w:pPr>
      <w:r>
        <w:rPr>
          <w:rFonts w:hint="eastAsia" w:eastAsia="仿宋_GB2312"/>
          <w:b/>
          <w:bCs/>
          <w:color w:val="000000"/>
          <w:sz w:val="32"/>
          <w:szCs w:val="32"/>
        </w:rPr>
        <w:t>第二十七条</w:t>
      </w:r>
      <w:r>
        <w:rPr>
          <w:rFonts w:eastAsia="仿宋_GB2312"/>
          <w:b/>
          <w:bCs/>
          <w:color w:val="000000"/>
          <w:sz w:val="32"/>
          <w:szCs w:val="32"/>
        </w:rPr>
        <w:t xml:space="preserve"> </w:t>
      </w:r>
      <w:r>
        <w:rPr>
          <w:rFonts w:hint="eastAsia" w:eastAsia="仿宋_GB2312"/>
          <w:color w:val="000000"/>
          <w:kern w:val="0"/>
          <w:sz w:val="32"/>
          <w:szCs w:val="32"/>
        </w:rPr>
        <w:t>市医疗保障经办机构按照委托管理协议的规定，及时将长期护理保险费用拨付至委托经办机构。委托经办机构应对长期护理保险费用单独建账、单独核算。</w:t>
      </w:r>
    </w:p>
    <w:p>
      <w:pPr>
        <w:autoSpaceDE w:val="0"/>
        <w:autoSpaceDN w:val="0"/>
        <w:adjustRightInd w:val="0"/>
        <w:spacing w:line="578" w:lineRule="exact"/>
        <w:rPr>
          <w:rFonts w:eastAsia="仿宋_GB2312"/>
          <w:color w:val="000000"/>
          <w:sz w:val="32"/>
          <w:szCs w:val="32"/>
        </w:rPr>
      </w:pPr>
      <w:r>
        <w:rPr>
          <w:rFonts w:eastAsia="仿宋_GB2312"/>
          <w:b/>
          <w:bCs/>
          <w:color w:val="000000"/>
          <w:sz w:val="32"/>
          <w:szCs w:val="32"/>
        </w:rPr>
        <w:t xml:space="preserve">    </w:t>
      </w:r>
      <w:r>
        <w:rPr>
          <w:rFonts w:hint="eastAsia" w:eastAsia="仿宋_GB2312"/>
          <w:b/>
          <w:bCs/>
          <w:color w:val="000000"/>
          <w:sz w:val="32"/>
          <w:szCs w:val="32"/>
        </w:rPr>
        <w:t>第二十八条</w:t>
      </w:r>
      <w:r>
        <w:rPr>
          <w:rFonts w:eastAsia="仿宋_GB2312"/>
          <w:b/>
          <w:bCs/>
          <w:color w:val="000000"/>
          <w:sz w:val="32"/>
          <w:szCs w:val="32"/>
        </w:rPr>
        <w:t xml:space="preserve"> </w:t>
      </w:r>
      <w:r>
        <w:rPr>
          <w:rFonts w:hint="eastAsia" w:eastAsia="仿宋_GB2312"/>
          <w:color w:val="000000"/>
          <w:sz w:val="32"/>
          <w:szCs w:val="32"/>
        </w:rPr>
        <w:t>定点护理机构应当通过长期护理保险信息系统，如实上传参保人员护理服务费用明细及相关资料。委托经办机构应及时完成机构上传的护理服务费用审核和支付。</w:t>
      </w:r>
    </w:p>
    <w:p>
      <w:pPr>
        <w:autoSpaceDE w:val="0"/>
        <w:autoSpaceDN w:val="0"/>
        <w:adjustRightInd w:val="0"/>
        <w:spacing w:line="578" w:lineRule="exact"/>
        <w:ind w:firstLine="31680" w:firstLineChars="200"/>
        <w:rPr>
          <w:rFonts w:eastAsia="仿宋_GB2312"/>
          <w:color w:val="000000"/>
          <w:kern w:val="0"/>
          <w:sz w:val="32"/>
          <w:szCs w:val="32"/>
        </w:rPr>
      </w:pPr>
      <w:r>
        <w:rPr>
          <w:rFonts w:hint="eastAsia" w:eastAsia="仿宋_GB2312"/>
          <w:b/>
          <w:bCs/>
          <w:color w:val="000000"/>
          <w:sz w:val="32"/>
          <w:szCs w:val="32"/>
        </w:rPr>
        <w:t>第二十九条</w:t>
      </w:r>
      <w:r>
        <w:rPr>
          <w:rFonts w:eastAsia="仿宋_GB2312"/>
          <w:color w:val="000000"/>
          <w:sz w:val="32"/>
          <w:szCs w:val="32"/>
        </w:rPr>
        <w:t xml:space="preserve"> </w:t>
      </w:r>
      <w:r>
        <w:rPr>
          <w:rFonts w:hint="eastAsia" w:eastAsia="仿宋_GB2312"/>
          <w:color w:val="000000"/>
          <w:kern w:val="0"/>
          <w:sz w:val="32"/>
          <w:szCs w:val="32"/>
        </w:rPr>
        <w:t>市医疗保障经办机构预留一定比例委托经办服务费作为服务质量保证金，于年终考核后结算。支付定点护理机构、失能评定机构的费用，委托经办机构预留一定比例作为服务质量保证金，于年终考核后结算。</w:t>
      </w:r>
    </w:p>
    <w:p>
      <w:pPr>
        <w:snapToGrid w:val="0"/>
        <w:spacing w:line="578" w:lineRule="exact"/>
        <w:ind w:left="31680" w:leftChars="200"/>
        <w:jc w:val="center"/>
        <w:rPr>
          <w:rFonts w:eastAsia="仿宋_GB2312"/>
          <w:sz w:val="32"/>
          <w:szCs w:val="32"/>
        </w:rPr>
      </w:pPr>
      <w:r>
        <w:rPr>
          <w:rFonts w:eastAsia="仿宋_GB2312"/>
          <w:sz w:val="32"/>
          <w:szCs w:val="32"/>
        </w:rPr>
        <w:t xml:space="preserve"> </w:t>
      </w:r>
    </w:p>
    <w:p>
      <w:pPr>
        <w:snapToGrid w:val="0"/>
        <w:spacing w:line="578" w:lineRule="exact"/>
        <w:jc w:val="center"/>
        <w:rPr>
          <w:rFonts w:eastAsia="黑体"/>
          <w:sz w:val="32"/>
          <w:szCs w:val="32"/>
        </w:rPr>
      </w:pPr>
      <w:r>
        <w:rPr>
          <w:rFonts w:hint="eastAsia" w:hAnsi="黑体" w:eastAsia="黑体"/>
          <w:sz w:val="32"/>
          <w:szCs w:val="32"/>
        </w:rPr>
        <w:t>第六章</w:t>
      </w:r>
      <w:r>
        <w:rPr>
          <w:rFonts w:eastAsia="黑体"/>
          <w:sz w:val="32"/>
          <w:szCs w:val="32"/>
        </w:rPr>
        <w:t xml:space="preserve"> </w:t>
      </w:r>
      <w:r>
        <w:rPr>
          <w:rFonts w:hint="eastAsia" w:hAnsi="黑体" w:eastAsia="黑体"/>
          <w:sz w:val="32"/>
          <w:szCs w:val="32"/>
        </w:rPr>
        <w:t>考核监督</w:t>
      </w:r>
    </w:p>
    <w:p>
      <w:pPr>
        <w:spacing w:line="578" w:lineRule="exact"/>
        <w:ind w:firstLine="31680" w:firstLineChars="200"/>
        <w:rPr>
          <w:rFonts w:eastAsia="仿宋_GB2312"/>
          <w:kern w:val="0"/>
          <w:sz w:val="32"/>
          <w:szCs w:val="32"/>
        </w:rPr>
      </w:pPr>
      <w:r>
        <w:rPr>
          <w:rFonts w:hint="eastAsia" w:eastAsia="仿宋_GB2312"/>
          <w:b/>
          <w:bCs/>
          <w:kern w:val="0"/>
          <w:sz w:val="32"/>
          <w:szCs w:val="32"/>
        </w:rPr>
        <w:t>第三十条</w:t>
      </w:r>
      <w:r>
        <w:rPr>
          <w:rFonts w:eastAsia="仿宋_GB2312"/>
          <w:kern w:val="0"/>
          <w:sz w:val="32"/>
          <w:szCs w:val="32"/>
        </w:rPr>
        <w:t xml:space="preserve"> </w:t>
      </w:r>
      <w:r>
        <w:rPr>
          <w:rFonts w:hint="eastAsia" w:eastAsia="仿宋_GB2312"/>
          <w:kern w:val="0"/>
          <w:sz w:val="32"/>
          <w:szCs w:val="32"/>
        </w:rPr>
        <w:t>市医疗保障经办机构逐步建立委托经办机构绩效评价、考核激励和风险防范机制，强化服务质量管理。</w:t>
      </w:r>
    </w:p>
    <w:p>
      <w:pPr>
        <w:spacing w:line="578" w:lineRule="exact"/>
        <w:ind w:firstLine="31680" w:firstLineChars="200"/>
        <w:rPr>
          <w:rFonts w:eastAsia="仿宋_GB2312"/>
          <w:kern w:val="0"/>
          <w:sz w:val="32"/>
          <w:szCs w:val="32"/>
        </w:rPr>
      </w:pPr>
      <w:r>
        <w:rPr>
          <w:rFonts w:hint="eastAsia" w:eastAsia="仿宋_GB2312"/>
          <w:b/>
          <w:bCs/>
          <w:kern w:val="0"/>
          <w:sz w:val="32"/>
          <w:szCs w:val="32"/>
        </w:rPr>
        <w:t>第三十一条</w:t>
      </w:r>
      <w:r>
        <w:rPr>
          <w:rFonts w:eastAsia="仿宋_GB2312"/>
          <w:b/>
          <w:bCs/>
          <w:kern w:val="0"/>
          <w:sz w:val="32"/>
          <w:szCs w:val="32"/>
        </w:rPr>
        <w:t xml:space="preserve"> </w:t>
      </w:r>
      <w:r>
        <w:rPr>
          <w:rFonts w:hint="eastAsia" w:eastAsia="仿宋_GB2312"/>
          <w:kern w:val="0"/>
          <w:sz w:val="32"/>
          <w:szCs w:val="32"/>
        </w:rPr>
        <w:t>市医疗保障经办机构制定定点护理机构、失能评定机构及其人员协议考核管理办法，重点明确激励与退出机制，考核结果与服务质量保障金和协议续签挂钩。</w:t>
      </w:r>
    </w:p>
    <w:p>
      <w:pPr>
        <w:spacing w:line="578" w:lineRule="exact"/>
        <w:ind w:firstLine="31680" w:firstLineChars="200"/>
        <w:rPr>
          <w:rFonts w:eastAsia="仿宋_GB2312"/>
          <w:kern w:val="0"/>
          <w:sz w:val="32"/>
          <w:szCs w:val="32"/>
        </w:rPr>
      </w:pPr>
      <w:r>
        <w:rPr>
          <w:rFonts w:hint="eastAsia" w:eastAsia="仿宋_GB2312"/>
          <w:b/>
          <w:bCs/>
          <w:kern w:val="0"/>
          <w:sz w:val="32"/>
          <w:szCs w:val="32"/>
        </w:rPr>
        <w:t>第三十二条</w:t>
      </w:r>
      <w:r>
        <w:rPr>
          <w:rFonts w:eastAsia="仿宋_GB2312"/>
          <w:b/>
          <w:bCs/>
          <w:kern w:val="0"/>
          <w:sz w:val="32"/>
          <w:szCs w:val="32"/>
        </w:rPr>
        <w:t xml:space="preserve"> </w:t>
      </w:r>
      <w:r>
        <w:rPr>
          <w:rFonts w:hint="eastAsia" w:eastAsia="仿宋_GB2312"/>
          <w:kern w:val="0"/>
          <w:sz w:val="32"/>
          <w:szCs w:val="32"/>
        </w:rPr>
        <w:t>委托经办机构应当建立运行分析、日常巡查、投诉举报等管理制度，通过抽查随访、满意度调查等手段，加强定点服务机构、失能评定机构协议管理。</w:t>
      </w:r>
    </w:p>
    <w:p>
      <w:pPr>
        <w:spacing w:line="578" w:lineRule="exact"/>
        <w:ind w:firstLine="31680" w:firstLineChars="200"/>
        <w:rPr>
          <w:rFonts w:eastAsia="仿宋_GB2312"/>
          <w:kern w:val="0"/>
          <w:sz w:val="32"/>
          <w:szCs w:val="32"/>
        </w:rPr>
      </w:pPr>
      <w:r>
        <w:rPr>
          <w:rFonts w:hint="eastAsia" w:eastAsia="仿宋_GB2312"/>
          <w:b/>
          <w:bCs/>
          <w:kern w:val="0"/>
          <w:sz w:val="32"/>
          <w:szCs w:val="32"/>
        </w:rPr>
        <w:t>第三十三条</w:t>
      </w:r>
      <w:r>
        <w:rPr>
          <w:rFonts w:eastAsia="仿宋_GB2312"/>
          <w:kern w:val="0"/>
          <w:sz w:val="32"/>
          <w:szCs w:val="32"/>
        </w:rPr>
        <w:t xml:space="preserve"> </w:t>
      </w:r>
      <w:r>
        <w:rPr>
          <w:rFonts w:hint="eastAsia" w:eastAsia="仿宋_GB2312"/>
          <w:kern w:val="0"/>
          <w:sz w:val="32"/>
          <w:szCs w:val="32"/>
        </w:rPr>
        <w:t>建立健全基金监管机制，创新基金监管手段。加快推进人脸识别、卫星定位、</w:t>
      </w:r>
      <w:r>
        <w:rPr>
          <w:rFonts w:eastAsia="仿宋_GB2312"/>
          <w:kern w:val="0"/>
          <w:sz w:val="32"/>
          <w:szCs w:val="32"/>
        </w:rPr>
        <w:t>“</w:t>
      </w:r>
      <w:r>
        <w:rPr>
          <w:rFonts w:hint="eastAsia" w:eastAsia="仿宋_GB2312"/>
          <w:kern w:val="0"/>
          <w:sz w:val="32"/>
          <w:szCs w:val="32"/>
        </w:rPr>
        <w:t>互联网</w:t>
      </w:r>
      <w:r>
        <w:rPr>
          <w:rFonts w:eastAsia="仿宋_GB2312"/>
          <w:kern w:val="0"/>
          <w:sz w:val="32"/>
          <w:szCs w:val="32"/>
        </w:rPr>
        <w:t>+”</w:t>
      </w:r>
      <w:r>
        <w:rPr>
          <w:rFonts w:hint="eastAsia" w:eastAsia="仿宋_GB2312"/>
          <w:kern w:val="0"/>
          <w:sz w:val="32"/>
          <w:szCs w:val="32"/>
        </w:rPr>
        <w:t>等创新技术在长期护理保险基金监管和</w:t>
      </w:r>
      <w:r>
        <w:rPr>
          <w:rFonts w:hint="eastAsia" w:hAnsi="Calibri" w:eastAsia="仿宋_GB2312"/>
          <w:sz w:val="32"/>
          <w:szCs w:val="32"/>
        </w:rPr>
        <w:t>协议管理</w:t>
      </w:r>
      <w:r>
        <w:rPr>
          <w:rFonts w:hint="eastAsia" w:eastAsia="仿宋_GB2312"/>
          <w:kern w:val="0"/>
          <w:sz w:val="32"/>
          <w:szCs w:val="32"/>
        </w:rPr>
        <w:t>工作中的应用。</w:t>
      </w:r>
    </w:p>
    <w:p>
      <w:pPr>
        <w:autoSpaceDE w:val="0"/>
        <w:autoSpaceDN w:val="0"/>
        <w:adjustRightInd w:val="0"/>
        <w:spacing w:line="578" w:lineRule="exact"/>
        <w:rPr>
          <w:rFonts w:eastAsia="仿宋_GB2312"/>
          <w:color w:val="000000"/>
          <w:kern w:val="0"/>
          <w:sz w:val="32"/>
          <w:szCs w:val="32"/>
        </w:rPr>
      </w:pPr>
      <w:r>
        <w:rPr>
          <w:rFonts w:eastAsia="仿宋_GB2312"/>
          <w:color w:val="000000"/>
          <w:kern w:val="0"/>
          <w:sz w:val="32"/>
          <w:szCs w:val="32"/>
        </w:rPr>
        <w:t xml:space="preserve"> </w:t>
      </w:r>
    </w:p>
    <w:p>
      <w:pPr>
        <w:autoSpaceDE w:val="0"/>
        <w:autoSpaceDN w:val="0"/>
        <w:adjustRightInd w:val="0"/>
        <w:spacing w:line="578" w:lineRule="exact"/>
        <w:jc w:val="center"/>
        <w:rPr>
          <w:rFonts w:eastAsia="黑体"/>
          <w:color w:val="000000"/>
          <w:kern w:val="0"/>
          <w:sz w:val="32"/>
          <w:szCs w:val="32"/>
        </w:rPr>
      </w:pPr>
      <w:r>
        <w:rPr>
          <w:rFonts w:hint="eastAsia" w:hAnsi="黑体" w:eastAsia="黑体"/>
          <w:color w:val="000000"/>
          <w:kern w:val="0"/>
          <w:sz w:val="32"/>
          <w:szCs w:val="32"/>
        </w:rPr>
        <w:t>第七章</w:t>
      </w:r>
      <w:r>
        <w:rPr>
          <w:rFonts w:eastAsia="黑体"/>
          <w:color w:val="000000"/>
          <w:kern w:val="0"/>
          <w:sz w:val="32"/>
          <w:szCs w:val="32"/>
        </w:rPr>
        <w:t xml:space="preserve"> </w:t>
      </w:r>
      <w:r>
        <w:rPr>
          <w:rFonts w:hint="eastAsia" w:hAnsi="黑体" w:eastAsia="黑体"/>
          <w:color w:val="000000"/>
          <w:kern w:val="0"/>
          <w:sz w:val="32"/>
          <w:szCs w:val="32"/>
        </w:rPr>
        <w:t>附则</w:t>
      </w:r>
    </w:p>
    <w:p>
      <w:pPr>
        <w:autoSpaceDE w:val="0"/>
        <w:autoSpaceDN w:val="0"/>
        <w:adjustRightInd w:val="0"/>
        <w:spacing w:line="578" w:lineRule="exact"/>
        <w:ind w:firstLine="31680" w:firstLineChars="200"/>
        <w:rPr>
          <w:rFonts w:eastAsia="仿宋_GB2312"/>
          <w:color w:val="000000"/>
          <w:kern w:val="0"/>
          <w:sz w:val="32"/>
          <w:szCs w:val="32"/>
        </w:rPr>
      </w:pPr>
      <w:r>
        <w:rPr>
          <w:rFonts w:hint="eastAsia" w:eastAsia="仿宋_GB2312"/>
          <w:b/>
          <w:bCs/>
          <w:color w:val="000000"/>
          <w:kern w:val="0"/>
          <w:sz w:val="32"/>
          <w:szCs w:val="32"/>
        </w:rPr>
        <w:t>第三十四条</w:t>
      </w:r>
      <w:r>
        <w:rPr>
          <w:rFonts w:eastAsia="仿宋_GB2312"/>
          <w:color w:val="000000"/>
          <w:kern w:val="0"/>
          <w:sz w:val="32"/>
          <w:szCs w:val="32"/>
        </w:rPr>
        <w:t xml:space="preserve"> </w:t>
      </w:r>
      <w:r>
        <w:rPr>
          <w:rFonts w:hint="eastAsia" w:eastAsia="仿宋_GB2312"/>
          <w:color w:val="000000"/>
          <w:kern w:val="0"/>
          <w:sz w:val="32"/>
          <w:szCs w:val="32"/>
        </w:rPr>
        <w:t>本</w:t>
      </w:r>
      <w:r>
        <w:rPr>
          <w:rFonts w:hint="eastAsia" w:eastAsia="仿宋_GB2312"/>
          <w:sz w:val="32"/>
          <w:szCs w:val="32"/>
        </w:rPr>
        <w:t>细则由</w:t>
      </w:r>
      <w:r>
        <w:rPr>
          <w:rFonts w:hint="eastAsia" w:eastAsia="仿宋_GB2312"/>
          <w:color w:val="000000"/>
          <w:kern w:val="0"/>
          <w:sz w:val="32"/>
          <w:szCs w:val="32"/>
        </w:rPr>
        <w:t>市</w:t>
      </w:r>
      <w:r>
        <w:rPr>
          <w:rFonts w:hint="eastAsia" w:eastAsia="仿宋_GB2312"/>
          <w:kern w:val="0"/>
          <w:sz w:val="32"/>
          <w:szCs w:val="32"/>
        </w:rPr>
        <w:t>医疗保障</w:t>
      </w:r>
      <w:r>
        <w:rPr>
          <w:rFonts w:hint="eastAsia" w:eastAsia="仿宋_GB2312"/>
          <w:color w:val="000000"/>
          <w:kern w:val="0"/>
          <w:sz w:val="32"/>
          <w:szCs w:val="32"/>
        </w:rPr>
        <w:t>行政部门负责解释。</w:t>
      </w:r>
    </w:p>
    <w:p>
      <w:pPr>
        <w:spacing w:line="578" w:lineRule="exact"/>
        <w:ind w:firstLine="31680" w:firstLineChars="196"/>
        <w:rPr>
          <w:rFonts w:eastAsia="仿宋_GB2312"/>
          <w:sz w:val="32"/>
          <w:szCs w:val="32"/>
        </w:rPr>
      </w:pPr>
      <w:r>
        <w:rPr>
          <w:rFonts w:hint="eastAsia" w:hAnsi="Calibri" w:eastAsia="仿宋_GB2312"/>
          <w:b/>
          <w:bCs/>
          <w:sz w:val="32"/>
          <w:szCs w:val="32"/>
        </w:rPr>
        <w:t>第三十五条</w:t>
      </w:r>
      <w:r>
        <w:rPr>
          <w:rFonts w:eastAsia="仿宋_GB2312"/>
          <w:sz w:val="32"/>
          <w:szCs w:val="32"/>
        </w:rPr>
        <w:t xml:space="preserve"> </w:t>
      </w:r>
      <w:r>
        <w:rPr>
          <w:rFonts w:hint="eastAsia" w:hAnsi="Calibri" w:eastAsia="仿宋_GB2312"/>
          <w:sz w:val="32"/>
          <w:szCs w:val="32"/>
        </w:rPr>
        <w:t>本细则自印发之日起施行，有效期</w:t>
      </w:r>
      <w:r>
        <w:rPr>
          <w:rFonts w:eastAsia="仿宋_GB2312"/>
          <w:sz w:val="32"/>
          <w:szCs w:val="32"/>
        </w:rPr>
        <w:t>2</w:t>
      </w:r>
      <w:r>
        <w:rPr>
          <w:rFonts w:hint="eastAsia" w:hAnsi="Calibri" w:eastAsia="仿宋_GB2312"/>
          <w:sz w:val="32"/>
          <w:szCs w:val="32"/>
        </w:rPr>
        <w:t>年。</w:t>
      </w:r>
      <w:r>
        <w:rPr>
          <w:rFonts w:eastAsia="仿宋_GB2312"/>
          <w:sz w:val="32"/>
          <w:szCs w:val="32"/>
        </w:rPr>
        <w:t xml:space="preserve"> </w:t>
      </w:r>
    </w:p>
    <w:p>
      <w:pPr>
        <w:rPr>
          <w:rFonts w:eastAsia="仿宋_GB2312"/>
          <w:sz w:val="15"/>
          <w:szCs w:val="15"/>
        </w:rPr>
      </w:pPr>
    </w:p>
    <w:p>
      <w:pPr>
        <w:rPr>
          <w:rFonts w:eastAsia="仿宋_GB2312"/>
          <w:sz w:val="15"/>
          <w:szCs w:val="15"/>
        </w:rPr>
      </w:pPr>
    </w:p>
    <w:p>
      <w:pPr>
        <w:rPr>
          <w:rFonts w:eastAsia="仿宋_GB2312"/>
          <w:sz w:val="15"/>
          <w:szCs w:val="15"/>
        </w:rPr>
      </w:pPr>
    </w:p>
    <w:p>
      <w:pPr>
        <w:spacing w:line="600" w:lineRule="exact"/>
        <w:ind w:left="31680" w:leftChars="100" w:right="31680" w:rightChars="100"/>
        <w:rPr>
          <w:rFonts w:eastAsia="仿宋_GB2312"/>
          <w:sz w:val="28"/>
          <w:szCs w:val="28"/>
        </w:rPr>
      </w:pPr>
      <w:r>
        <w:pict>
          <v:line id="直线 16" o:spid="_x0000_s1028" o:spt="20" style="position:absolute;left:0pt;margin-left:-0.05pt;margin-top:0pt;height:0pt;width:441.05pt;z-index:251660288;mso-width-relative:page;mso-height-relative:page;" coordsize="21600,21600">
            <v:path arrowok="t"/>
            <v:fill focussize="0,0"/>
            <v:stroke weight="1.5pt"/>
            <v:imagedata o:title=""/>
            <o:lock v:ext="edit"/>
          </v:line>
        </w:pict>
      </w:r>
      <w:r>
        <w:pict>
          <v:line id="直线 15" o:spid="_x0000_s1029" o:spt="20" style="position:absolute;left:0pt;margin-left:0pt;margin-top:30.5pt;height:0pt;width:441.05pt;z-index:251661312;mso-width-relative:page;mso-height-relative:page;" coordsize="21600,21600">
            <v:path arrowok="t"/>
            <v:fill focussize="0,0"/>
            <v:stroke weight="1.5pt"/>
            <v:imagedata o:title=""/>
            <o:lock v:ext="edit"/>
          </v:line>
        </w:pict>
      </w:r>
      <w:r>
        <w:pict>
          <v:line id="直线 14" o:spid="_x0000_s1030" o:spt="20" style="position:absolute;left:0pt;margin-left:0pt;margin-top:0pt;height:0pt;width:441.05pt;z-index:251662336;mso-width-relative:page;mso-height-relative:page;" coordsize="21600,21600" o:allowincell="f">
            <v:path arrowok="t"/>
            <v:fill focussize="0,0"/>
            <v:stroke/>
            <v:imagedata o:title=""/>
            <o:lock v:ext="edit"/>
          </v:line>
        </w:pict>
      </w:r>
      <w:r>
        <w:rPr>
          <w:rFonts w:hint="eastAsia" w:eastAsia="仿宋_GB2312"/>
          <w:sz w:val="28"/>
          <w:szCs w:val="28"/>
        </w:rPr>
        <w:t>天津市医疗保障局办公室</w:t>
      </w:r>
      <w:r>
        <w:rPr>
          <w:rFonts w:eastAsia="仿宋_GB2312"/>
          <w:sz w:val="28"/>
          <w:szCs w:val="28"/>
        </w:rPr>
        <w:t xml:space="preserve">                  2021</w:t>
      </w:r>
      <w:r>
        <w:rPr>
          <w:rFonts w:hint="eastAsia" w:eastAsia="仿宋_GB2312"/>
          <w:sz w:val="28"/>
          <w:szCs w:val="28"/>
        </w:rPr>
        <w:t>年</w:t>
      </w:r>
      <w:r>
        <w:rPr>
          <w:rFonts w:eastAsia="仿宋_GB2312"/>
          <w:sz w:val="28"/>
          <w:szCs w:val="28"/>
        </w:rPr>
        <w:t>1</w:t>
      </w:r>
      <w:r>
        <w:rPr>
          <w:rFonts w:hint="eastAsia" w:eastAsia="仿宋_GB2312"/>
          <w:sz w:val="28"/>
          <w:szCs w:val="28"/>
        </w:rPr>
        <w:t>月</w:t>
      </w:r>
      <w:r>
        <w:rPr>
          <w:rFonts w:hint="eastAsia" w:eastAsia="仿宋_GB2312"/>
          <w:sz w:val="28"/>
          <w:szCs w:val="28"/>
          <w:lang w:val="en-US" w:eastAsia="zh-CN"/>
        </w:rPr>
        <w:t>25</w:t>
      </w:r>
      <w:r>
        <w:rPr>
          <w:rFonts w:hint="eastAsia" w:eastAsia="仿宋_GB2312"/>
          <w:sz w:val="28"/>
          <w:szCs w:val="28"/>
        </w:rPr>
        <w:t>日印发</w:t>
      </w:r>
    </w:p>
    <w:sectPr>
      <w:footerReference r:id="rId3" w:type="default"/>
      <w:footerReference r:id="rId4" w:type="even"/>
      <w:pgSz w:w="11906" w:h="16838"/>
      <w:pgMar w:top="2098" w:right="1474" w:bottom="1985"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文星简小标宋">
    <w:altName w:val="Arial Unicode MS"/>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swiss"/>
    <w:pitch w:val="default"/>
    <w:sig w:usb0="00000001" w:usb1="080E0000" w:usb2="00000000" w:usb3="00000000" w:csb0="00040000" w:csb1="00000000"/>
  </w:font>
  <w:font w:name="Courier New">
    <w:panose1 w:val="02070309020205020404"/>
    <w:charset w:val="00"/>
    <w:family w:val="swiss"/>
    <w:pitch w:val="default"/>
    <w:sig w:usb0="E0002AFF" w:usb1="C0007843" w:usb2="00000009" w:usb3="00000000" w:csb0="400001FF" w:csb1="FFFF0000"/>
  </w:font>
  <w:font w:name="Arial Unicode MS">
    <w:panose1 w:val="020B0604020202020204"/>
    <w:charset w:val="86"/>
    <w:family w:val="decorative"/>
    <w:pitch w:val="default"/>
    <w:sig w:usb0="FFFFFFFF" w:usb1="E9FFFFFF" w:usb2="0000003F" w:usb3="00000000" w:csb0="603F01FF" w:csb1="FFFF0000"/>
  </w:font>
  <w:font w:name="文星简小标宋">
    <w:altName w:val="Arial Unicode MS"/>
    <w:panose1 w:val="00000000000000000000"/>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wordWrap w:val="0"/>
      <w:jc w:val="right"/>
      <w:rPr>
        <w:rFonts w:asci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- 3 -</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rPr>
        <w:rFonts w:asci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- 2 -</w:t>
    </w:r>
    <w:r>
      <w:rPr>
        <w:rFonts w:ascii="宋体" w:hAnsi="宋体"/>
        <w:sz w:val="28"/>
        <w:szCs w:val="28"/>
      </w:rPr>
      <w:fldChar w:fldCharType="end"/>
    </w:r>
    <w:r>
      <w:rPr>
        <w:rFonts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bordersDoNotSurroundHeader w:val="1"/>
  <w:bordersDoNotSurroundFooter w:val="1"/>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BDC"/>
    <w:rsid w:val="00002405"/>
    <w:rsid w:val="00014B3C"/>
    <w:rsid w:val="000309E8"/>
    <w:rsid w:val="000316DB"/>
    <w:rsid w:val="000449C0"/>
    <w:rsid w:val="00065A13"/>
    <w:rsid w:val="00066128"/>
    <w:rsid w:val="00075B07"/>
    <w:rsid w:val="00084019"/>
    <w:rsid w:val="0008446B"/>
    <w:rsid w:val="000860EE"/>
    <w:rsid w:val="00092D21"/>
    <w:rsid w:val="000A44BF"/>
    <w:rsid w:val="000B6CB4"/>
    <w:rsid w:val="000D3856"/>
    <w:rsid w:val="000D5C10"/>
    <w:rsid w:val="000E7D44"/>
    <w:rsid w:val="000F31EA"/>
    <w:rsid w:val="00105351"/>
    <w:rsid w:val="0010662E"/>
    <w:rsid w:val="00111C6B"/>
    <w:rsid w:val="00116378"/>
    <w:rsid w:val="00120125"/>
    <w:rsid w:val="00121A8A"/>
    <w:rsid w:val="00125A36"/>
    <w:rsid w:val="00126519"/>
    <w:rsid w:val="001502D2"/>
    <w:rsid w:val="00161DBC"/>
    <w:rsid w:val="00162B87"/>
    <w:rsid w:val="001770BB"/>
    <w:rsid w:val="00182ED7"/>
    <w:rsid w:val="0018618D"/>
    <w:rsid w:val="00193F4D"/>
    <w:rsid w:val="001A0328"/>
    <w:rsid w:val="001A372F"/>
    <w:rsid w:val="001A6F9E"/>
    <w:rsid w:val="001B3307"/>
    <w:rsid w:val="001B56DC"/>
    <w:rsid w:val="001C75FF"/>
    <w:rsid w:val="001D743C"/>
    <w:rsid w:val="001E0B13"/>
    <w:rsid w:val="001F636F"/>
    <w:rsid w:val="00205CD3"/>
    <w:rsid w:val="0020639D"/>
    <w:rsid w:val="002070A2"/>
    <w:rsid w:val="00211918"/>
    <w:rsid w:val="00213FC6"/>
    <w:rsid w:val="0022626F"/>
    <w:rsid w:val="002277B1"/>
    <w:rsid w:val="002307B0"/>
    <w:rsid w:val="00232521"/>
    <w:rsid w:val="00233E93"/>
    <w:rsid w:val="00240FE7"/>
    <w:rsid w:val="00241B07"/>
    <w:rsid w:val="0026043E"/>
    <w:rsid w:val="0026092B"/>
    <w:rsid w:val="00263D7A"/>
    <w:rsid w:val="00277682"/>
    <w:rsid w:val="00290E45"/>
    <w:rsid w:val="002A35E1"/>
    <w:rsid w:val="002B6E88"/>
    <w:rsid w:val="002C2867"/>
    <w:rsid w:val="002C32E0"/>
    <w:rsid w:val="002C6161"/>
    <w:rsid w:val="002C6236"/>
    <w:rsid w:val="002C7C03"/>
    <w:rsid w:val="002E1670"/>
    <w:rsid w:val="002E2CD1"/>
    <w:rsid w:val="002E3A88"/>
    <w:rsid w:val="002F3BBA"/>
    <w:rsid w:val="002F4A77"/>
    <w:rsid w:val="00301092"/>
    <w:rsid w:val="00302F55"/>
    <w:rsid w:val="00305AD7"/>
    <w:rsid w:val="00313C04"/>
    <w:rsid w:val="00317E1B"/>
    <w:rsid w:val="003540F7"/>
    <w:rsid w:val="003560F2"/>
    <w:rsid w:val="00356823"/>
    <w:rsid w:val="003607D0"/>
    <w:rsid w:val="00367B53"/>
    <w:rsid w:val="003746D2"/>
    <w:rsid w:val="00376D60"/>
    <w:rsid w:val="00380B5A"/>
    <w:rsid w:val="00383565"/>
    <w:rsid w:val="00385869"/>
    <w:rsid w:val="003868C5"/>
    <w:rsid w:val="00397120"/>
    <w:rsid w:val="003A1E67"/>
    <w:rsid w:val="003A4571"/>
    <w:rsid w:val="003A4C9C"/>
    <w:rsid w:val="003A72C0"/>
    <w:rsid w:val="003B6972"/>
    <w:rsid w:val="003D0970"/>
    <w:rsid w:val="003E3DB1"/>
    <w:rsid w:val="003E6A9B"/>
    <w:rsid w:val="003F0506"/>
    <w:rsid w:val="003F0BDC"/>
    <w:rsid w:val="003F4CBF"/>
    <w:rsid w:val="003F57E3"/>
    <w:rsid w:val="004030B8"/>
    <w:rsid w:val="00432B40"/>
    <w:rsid w:val="00434765"/>
    <w:rsid w:val="0043552E"/>
    <w:rsid w:val="004409C0"/>
    <w:rsid w:val="00457D03"/>
    <w:rsid w:val="004607C9"/>
    <w:rsid w:val="00464741"/>
    <w:rsid w:val="00464EFB"/>
    <w:rsid w:val="00472F68"/>
    <w:rsid w:val="0047332F"/>
    <w:rsid w:val="00473D2E"/>
    <w:rsid w:val="00481E82"/>
    <w:rsid w:val="004843C1"/>
    <w:rsid w:val="00491A17"/>
    <w:rsid w:val="00494A86"/>
    <w:rsid w:val="004A724A"/>
    <w:rsid w:val="004B43A8"/>
    <w:rsid w:val="004C29BD"/>
    <w:rsid w:val="004C4540"/>
    <w:rsid w:val="004C47F3"/>
    <w:rsid w:val="004E7AF1"/>
    <w:rsid w:val="004F08BD"/>
    <w:rsid w:val="004F2B35"/>
    <w:rsid w:val="004F593A"/>
    <w:rsid w:val="004F7E44"/>
    <w:rsid w:val="00505D0A"/>
    <w:rsid w:val="005150E6"/>
    <w:rsid w:val="00526E87"/>
    <w:rsid w:val="00542A05"/>
    <w:rsid w:val="00542C72"/>
    <w:rsid w:val="005452C8"/>
    <w:rsid w:val="00561774"/>
    <w:rsid w:val="00562FE0"/>
    <w:rsid w:val="00573824"/>
    <w:rsid w:val="00577EFF"/>
    <w:rsid w:val="00582EC4"/>
    <w:rsid w:val="0058648D"/>
    <w:rsid w:val="005872FB"/>
    <w:rsid w:val="0059070D"/>
    <w:rsid w:val="0059190B"/>
    <w:rsid w:val="005948C4"/>
    <w:rsid w:val="005B147E"/>
    <w:rsid w:val="005B2C2B"/>
    <w:rsid w:val="005C452B"/>
    <w:rsid w:val="005C5298"/>
    <w:rsid w:val="005D20A8"/>
    <w:rsid w:val="005E0370"/>
    <w:rsid w:val="005E5F72"/>
    <w:rsid w:val="005F3A91"/>
    <w:rsid w:val="005F7746"/>
    <w:rsid w:val="005F7E22"/>
    <w:rsid w:val="00607F78"/>
    <w:rsid w:val="0061731D"/>
    <w:rsid w:val="0062565C"/>
    <w:rsid w:val="00627FB7"/>
    <w:rsid w:val="00631065"/>
    <w:rsid w:val="00637666"/>
    <w:rsid w:val="00645468"/>
    <w:rsid w:val="00650D63"/>
    <w:rsid w:val="00651B5D"/>
    <w:rsid w:val="00653E0B"/>
    <w:rsid w:val="006603A3"/>
    <w:rsid w:val="006607D3"/>
    <w:rsid w:val="00661DED"/>
    <w:rsid w:val="00665290"/>
    <w:rsid w:val="00680E7B"/>
    <w:rsid w:val="00684754"/>
    <w:rsid w:val="006903EA"/>
    <w:rsid w:val="00695C40"/>
    <w:rsid w:val="006A21BF"/>
    <w:rsid w:val="006A629E"/>
    <w:rsid w:val="006B7511"/>
    <w:rsid w:val="006C33E8"/>
    <w:rsid w:val="00700486"/>
    <w:rsid w:val="00703344"/>
    <w:rsid w:val="00706712"/>
    <w:rsid w:val="0071104B"/>
    <w:rsid w:val="00724242"/>
    <w:rsid w:val="00725053"/>
    <w:rsid w:val="00746BE8"/>
    <w:rsid w:val="00751B53"/>
    <w:rsid w:val="007634DC"/>
    <w:rsid w:val="00764E75"/>
    <w:rsid w:val="0076574C"/>
    <w:rsid w:val="00784BC6"/>
    <w:rsid w:val="00794236"/>
    <w:rsid w:val="00794E13"/>
    <w:rsid w:val="007B2553"/>
    <w:rsid w:val="007D74D1"/>
    <w:rsid w:val="007E5073"/>
    <w:rsid w:val="007E5B74"/>
    <w:rsid w:val="007F0689"/>
    <w:rsid w:val="007F7EED"/>
    <w:rsid w:val="00801FB2"/>
    <w:rsid w:val="008143C0"/>
    <w:rsid w:val="00816AB4"/>
    <w:rsid w:val="008172A5"/>
    <w:rsid w:val="00821634"/>
    <w:rsid w:val="00833488"/>
    <w:rsid w:val="00834282"/>
    <w:rsid w:val="00835647"/>
    <w:rsid w:val="00846D6C"/>
    <w:rsid w:val="008470B2"/>
    <w:rsid w:val="00857EA5"/>
    <w:rsid w:val="00864DF6"/>
    <w:rsid w:val="00870215"/>
    <w:rsid w:val="00872C24"/>
    <w:rsid w:val="00872FD1"/>
    <w:rsid w:val="00873ABF"/>
    <w:rsid w:val="0087664D"/>
    <w:rsid w:val="00877BFA"/>
    <w:rsid w:val="00887345"/>
    <w:rsid w:val="00892E6E"/>
    <w:rsid w:val="00896547"/>
    <w:rsid w:val="008B3F8F"/>
    <w:rsid w:val="008B6EE9"/>
    <w:rsid w:val="008D48DB"/>
    <w:rsid w:val="008D7AE0"/>
    <w:rsid w:val="008E1795"/>
    <w:rsid w:val="008E35CE"/>
    <w:rsid w:val="00902459"/>
    <w:rsid w:val="0092779C"/>
    <w:rsid w:val="009325EE"/>
    <w:rsid w:val="009472D9"/>
    <w:rsid w:val="0095316C"/>
    <w:rsid w:val="009540A0"/>
    <w:rsid w:val="00956A41"/>
    <w:rsid w:val="00957982"/>
    <w:rsid w:val="0097381B"/>
    <w:rsid w:val="00976934"/>
    <w:rsid w:val="00987662"/>
    <w:rsid w:val="00990F09"/>
    <w:rsid w:val="009936DF"/>
    <w:rsid w:val="009A720A"/>
    <w:rsid w:val="009B3D69"/>
    <w:rsid w:val="009B7F1E"/>
    <w:rsid w:val="009D3C84"/>
    <w:rsid w:val="009D3D17"/>
    <w:rsid w:val="009D5A79"/>
    <w:rsid w:val="00A01E07"/>
    <w:rsid w:val="00A0772A"/>
    <w:rsid w:val="00A14E34"/>
    <w:rsid w:val="00A20AFE"/>
    <w:rsid w:val="00A27DAD"/>
    <w:rsid w:val="00A37F36"/>
    <w:rsid w:val="00A46DB5"/>
    <w:rsid w:val="00A54643"/>
    <w:rsid w:val="00A6417E"/>
    <w:rsid w:val="00A70248"/>
    <w:rsid w:val="00A718FC"/>
    <w:rsid w:val="00A72284"/>
    <w:rsid w:val="00A76EA1"/>
    <w:rsid w:val="00A776BF"/>
    <w:rsid w:val="00A972D5"/>
    <w:rsid w:val="00AA336D"/>
    <w:rsid w:val="00AA3A95"/>
    <w:rsid w:val="00AA4D7E"/>
    <w:rsid w:val="00AC36C9"/>
    <w:rsid w:val="00AC42A9"/>
    <w:rsid w:val="00AD6565"/>
    <w:rsid w:val="00AD7060"/>
    <w:rsid w:val="00AE1F85"/>
    <w:rsid w:val="00AE484D"/>
    <w:rsid w:val="00AE67E0"/>
    <w:rsid w:val="00AF4EAA"/>
    <w:rsid w:val="00B03A30"/>
    <w:rsid w:val="00B37B57"/>
    <w:rsid w:val="00B515D7"/>
    <w:rsid w:val="00B7313E"/>
    <w:rsid w:val="00B76FB3"/>
    <w:rsid w:val="00B8013E"/>
    <w:rsid w:val="00B83EA0"/>
    <w:rsid w:val="00B944BE"/>
    <w:rsid w:val="00BA7FCE"/>
    <w:rsid w:val="00BB01AA"/>
    <w:rsid w:val="00BB1241"/>
    <w:rsid w:val="00BB26CB"/>
    <w:rsid w:val="00BB3999"/>
    <w:rsid w:val="00BB700D"/>
    <w:rsid w:val="00BC1E7C"/>
    <w:rsid w:val="00BC3BAB"/>
    <w:rsid w:val="00BD4548"/>
    <w:rsid w:val="00BD78A2"/>
    <w:rsid w:val="00BE0092"/>
    <w:rsid w:val="00BF0E1B"/>
    <w:rsid w:val="00BF3575"/>
    <w:rsid w:val="00C10B87"/>
    <w:rsid w:val="00C138C9"/>
    <w:rsid w:val="00C20DD4"/>
    <w:rsid w:val="00C210A5"/>
    <w:rsid w:val="00C212CB"/>
    <w:rsid w:val="00C21C62"/>
    <w:rsid w:val="00C229B6"/>
    <w:rsid w:val="00C24F86"/>
    <w:rsid w:val="00C263D7"/>
    <w:rsid w:val="00C377C0"/>
    <w:rsid w:val="00C418EC"/>
    <w:rsid w:val="00C67CC4"/>
    <w:rsid w:val="00C7375E"/>
    <w:rsid w:val="00C81188"/>
    <w:rsid w:val="00C940D9"/>
    <w:rsid w:val="00CC0423"/>
    <w:rsid w:val="00CC05B9"/>
    <w:rsid w:val="00CC2B75"/>
    <w:rsid w:val="00CC39D6"/>
    <w:rsid w:val="00CD5A4A"/>
    <w:rsid w:val="00CD7143"/>
    <w:rsid w:val="00CE317B"/>
    <w:rsid w:val="00CF5D9B"/>
    <w:rsid w:val="00D04857"/>
    <w:rsid w:val="00D05F74"/>
    <w:rsid w:val="00D172E2"/>
    <w:rsid w:val="00D25CEA"/>
    <w:rsid w:val="00D5013E"/>
    <w:rsid w:val="00D51514"/>
    <w:rsid w:val="00D54DA4"/>
    <w:rsid w:val="00D60699"/>
    <w:rsid w:val="00D63189"/>
    <w:rsid w:val="00D63B50"/>
    <w:rsid w:val="00D645C6"/>
    <w:rsid w:val="00D655F0"/>
    <w:rsid w:val="00D7166E"/>
    <w:rsid w:val="00D83C36"/>
    <w:rsid w:val="00D903A0"/>
    <w:rsid w:val="00D92A2A"/>
    <w:rsid w:val="00D95D77"/>
    <w:rsid w:val="00D9619B"/>
    <w:rsid w:val="00D97787"/>
    <w:rsid w:val="00DA1675"/>
    <w:rsid w:val="00DA51A1"/>
    <w:rsid w:val="00DA71B3"/>
    <w:rsid w:val="00DB5A57"/>
    <w:rsid w:val="00DB7991"/>
    <w:rsid w:val="00DD0370"/>
    <w:rsid w:val="00DE1E26"/>
    <w:rsid w:val="00DF0EB8"/>
    <w:rsid w:val="00DF39C1"/>
    <w:rsid w:val="00E05DF6"/>
    <w:rsid w:val="00E10E80"/>
    <w:rsid w:val="00E14724"/>
    <w:rsid w:val="00E327F4"/>
    <w:rsid w:val="00E328E4"/>
    <w:rsid w:val="00E34BA1"/>
    <w:rsid w:val="00E4336D"/>
    <w:rsid w:val="00E47CEC"/>
    <w:rsid w:val="00E618B6"/>
    <w:rsid w:val="00E62E40"/>
    <w:rsid w:val="00E6703F"/>
    <w:rsid w:val="00E77191"/>
    <w:rsid w:val="00E87617"/>
    <w:rsid w:val="00E97124"/>
    <w:rsid w:val="00EA1421"/>
    <w:rsid w:val="00EA6939"/>
    <w:rsid w:val="00EC15E2"/>
    <w:rsid w:val="00ED060A"/>
    <w:rsid w:val="00EE00C1"/>
    <w:rsid w:val="00EF0701"/>
    <w:rsid w:val="00EF389A"/>
    <w:rsid w:val="00EF7ACD"/>
    <w:rsid w:val="00F1467E"/>
    <w:rsid w:val="00F21FFE"/>
    <w:rsid w:val="00F27859"/>
    <w:rsid w:val="00F34BAC"/>
    <w:rsid w:val="00F464B1"/>
    <w:rsid w:val="00F51049"/>
    <w:rsid w:val="00F603A0"/>
    <w:rsid w:val="00F60D89"/>
    <w:rsid w:val="00F6388A"/>
    <w:rsid w:val="00F77A77"/>
    <w:rsid w:val="00FA145E"/>
    <w:rsid w:val="00FA15B8"/>
    <w:rsid w:val="00FC5657"/>
    <w:rsid w:val="00FC5D95"/>
    <w:rsid w:val="00FC70EA"/>
    <w:rsid w:val="00FC7CD0"/>
    <w:rsid w:val="00FD2C26"/>
    <w:rsid w:val="00FE4D5D"/>
    <w:rsid w:val="00FF2BB6"/>
    <w:rsid w:val="00FF34F7"/>
    <w:rsid w:val="00FF688C"/>
    <w:rsid w:val="02D918EB"/>
    <w:rsid w:val="08A47804"/>
    <w:rsid w:val="432D6943"/>
    <w:rsid w:val="45595DF0"/>
    <w:rsid w:val="5BC15440"/>
    <w:rsid w:val="65B91BAE"/>
    <w:rsid w:val="6E4E3F80"/>
    <w:rsid w:val="745870EC"/>
    <w:rsid w:val="77FC7CE8"/>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10">
    <w:name w:val="Default Paragraph Font"/>
    <w:semiHidden/>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1"/>
    <w:uiPriority w:val="99"/>
    <w:pPr>
      <w:jc w:val="center"/>
    </w:pPr>
    <w:rPr>
      <w:sz w:val="44"/>
    </w:rPr>
  </w:style>
  <w:style w:type="paragraph" w:styleId="3">
    <w:name w:val="Body Text Indent"/>
    <w:basedOn w:val="1"/>
    <w:link w:val="15"/>
    <w:uiPriority w:val="99"/>
    <w:pPr>
      <w:ind w:firstLine="360"/>
    </w:pPr>
  </w:style>
  <w:style w:type="paragraph" w:styleId="4">
    <w:name w:val="Date"/>
    <w:basedOn w:val="1"/>
    <w:next w:val="1"/>
    <w:link w:val="16"/>
    <w:uiPriority w:val="99"/>
    <w:rPr>
      <w:rFonts w:ascii="仿宋_GB2312" w:eastAsia="仿宋_GB2312"/>
      <w:sz w:val="32"/>
    </w:rPr>
  </w:style>
  <w:style w:type="paragraph" w:styleId="5">
    <w:name w:val="Balloon Text"/>
    <w:basedOn w:val="1"/>
    <w:link w:val="17"/>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qFormat/>
    <w:uiPriority w:val="99"/>
    <w:rPr>
      <w:rFonts w:cs="Times New Roman"/>
    </w:rPr>
  </w:style>
  <w:style w:type="table" w:styleId="13">
    <w:name w:val="Table Grid"/>
    <w:basedOn w:val="1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Body Text Char"/>
    <w:basedOn w:val="10"/>
    <w:link w:val="2"/>
    <w:locked/>
    <w:uiPriority w:val="99"/>
    <w:rPr>
      <w:rFonts w:ascii="Times New Roman" w:hAnsi="Times New Roman" w:eastAsia="宋体" w:cs="Times New Roman"/>
      <w:sz w:val="20"/>
    </w:rPr>
  </w:style>
  <w:style w:type="character" w:customStyle="1" w:styleId="15">
    <w:name w:val="Body Text Indent Char"/>
    <w:basedOn w:val="10"/>
    <w:link w:val="3"/>
    <w:qFormat/>
    <w:locked/>
    <w:uiPriority w:val="99"/>
    <w:rPr>
      <w:rFonts w:cs="Times New Roman"/>
      <w:kern w:val="2"/>
      <w:sz w:val="21"/>
    </w:rPr>
  </w:style>
  <w:style w:type="character" w:customStyle="1" w:styleId="16">
    <w:name w:val="Date Char"/>
    <w:basedOn w:val="10"/>
    <w:link w:val="4"/>
    <w:locked/>
    <w:uiPriority w:val="99"/>
    <w:rPr>
      <w:rFonts w:ascii="仿宋_GB2312" w:eastAsia="仿宋_GB2312" w:cs="Times New Roman"/>
      <w:kern w:val="2"/>
      <w:sz w:val="32"/>
    </w:rPr>
  </w:style>
  <w:style w:type="character" w:customStyle="1" w:styleId="17">
    <w:name w:val="Balloon Text Char"/>
    <w:basedOn w:val="10"/>
    <w:link w:val="5"/>
    <w:locked/>
    <w:uiPriority w:val="99"/>
    <w:rPr>
      <w:rFonts w:cs="Times New Roman"/>
      <w:kern w:val="2"/>
      <w:sz w:val="18"/>
      <w:szCs w:val="18"/>
    </w:rPr>
  </w:style>
  <w:style w:type="character" w:customStyle="1" w:styleId="18">
    <w:name w:val="Footer Char"/>
    <w:basedOn w:val="10"/>
    <w:link w:val="6"/>
    <w:qFormat/>
    <w:locked/>
    <w:uiPriority w:val="99"/>
    <w:rPr>
      <w:rFonts w:cs="Times New Roman"/>
      <w:kern w:val="2"/>
      <w:sz w:val="18"/>
    </w:rPr>
  </w:style>
  <w:style w:type="character" w:customStyle="1" w:styleId="19">
    <w:name w:val="Header Char"/>
    <w:basedOn w:val="10"/>
    <w:link w:val="7"/>
    <w:locked/>
    <w:uiPriority w:val="99"/>
    <w:rPr>
      <w:rFonts w:cs="Times New Roman"/>
      <w:kern w:val="2"/>
      <w:sz w:val="18"/>
    </w:rPr>
  </w:style>
  <w:style w:type="character" w:customStyle="1" w:styleId="20">
    <w:name w:val="HTML Preformatted Char"/>
    <w:basedOn w:val="10"/>
    <w:link w:val="8"/>
    <w:qFormat/>
    <w:locked/>
    <w:uiPriority w:val="99"/>
    <w:rPr>
      <w:rFonts w:ascii="黑体" w:hAnsi="Courier New" w:eastAsia="黑体" w:cs="Courier New"/>
      <w:sz w:val="24"/>
      <w:szCs w:val="24"/>
    </w:rPr>
  </w:style>
  <w:style w:type="character" w:customStyle="1" w:styleId="21">
    <w:name w:val="Body Text Char1"/>
    <w:link w:val="2"/>
    <w:qFormat/>
    <w:locked/>
    <w:uiPriority w:val="99"/>
    <w:rPr>
      <w:kern w:val="2"/>
      <w:sz w:val="44"/>
    </w:rPr>
  </w:style>
  <w:style w:type="paragraph" w:customStyle="1" w:styleId="22">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4">
    <w:name w:val="列出段落1"/>
    <w:basedOn w:val="1"/>
    <w:qFormat/>
    <w:uiPriority w:val="99"/>
    <w:pPr>
      <w:ind w:firstLine="420" w:firstLineChars="200"/>
    </w:pPr>
    <w:rPr>
      <w:rFonts w:ascii="Calibri" w:hAnsi="Calibri"/>
      <w:szCs w:val="22"/>
    </w:rPr>
  </w:style>
  <w:style w:type="paragraph" w:customStyle="1" w:styleId="25">
    <w:name w:val="正文 A"/>
    <w:qFormat/>
    <w:uiPriority w:val="99"/>
    <w:pPr>
      <w:widowControl w:val="0"/>
      <w:jc w:val="both"/>
    </w:pPr>
    <w:rPr>
      <w:rFonts w:ascii="Arial Unicode MS"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10</Pages>
  <Words>627</Words>
  <Characters>3577</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2006-01-02T23:14:00Z</dcterms:created>
  <dc:creator>Sky123.Org</dc:creator>
  <cp:lastModifiedBy>Administrator</cp:lastModifiedBy>
  <cp:lastPrinted>2021-01-25T01:37:00Z</cp:lastPrinted>
  <dcterms:modified xsi:type="dcterms:W3CDTF">2021-01-25T03:16:52Z</dcterms:modified>
  <dc:title>塘计[2004]1号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