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ascii="Times New Roman" w:hAnsi="Times New Roman" w:eastAsia="黑体"/>
          <w:color w:val="000000"/>
          <w:sz w:val="32"/>
          <w:szCs w:val="32"/>
        </w:rPr>
      </w:pPr>
      <w:r>
        <w:rPr>
          <w:rFonts w:hint="eastAsia" w:ascii="Times New Roman" w:hAnsi="Times New Roman" w:eastAsia="黑体"/>
          <w:color w:val="000000"/>
          <w:sz w:val="32"/>
          <w:szCs w:val="32"/>
        </w:rPr>
        <w:t>附件</w:t>
      </w:r>
    </w:p>
    <w:p>
      <w:pPr>
        <w:pStyle w:val="4"/>
        <w:keepNext w:val="0"/>
        <w:keepLines w:val="0"/>
        <w:pageBreakBefore w:val="0"/>
        <w:widowControl w:val="0"/>
        <w:kinsoku/>
        <w:wordWrap/>
        <w:overflowPunct/>
        <w:topLinePunct w:val="0"/>
        <w:autoSpaceDE/>
        <w:autoSpaceDN/>
        <w:bidi w:val="0"/>
        <w:adjustRightInd/>
        <w:snapToGrid/>
        <w:spacing w:line="578" w:lineRule="exact"/>
        <w:ind w:firstLine="880" w:firstLineChars="200"/>
        <w:jc w:val="both"/>
        <w:textAlignment w:val="auto"/>
        <w:rPr>
          <w:rFonts w:ascii="Times New Roman" w:hAnsi="Times New Roman" w:eastAsia="方正小标宋简体"/>
          <w:bCs/>
          <w:szCs w:val="44"/>
        </w:rPr>
      </w:pPr>
    </w:p>
    <w:p>
      <w:pPr>
        <w:pStyle w:val="4"/>
        <w:keepNext w:val="0"/>
        <w:keepLines w:val="0"/>
        <w:pageBreakBefore w:val="0"/>
        <w:widowControl w:val="0"/>
        <w:kinsoku/>
        <w:wordWrap/>
        <w:overflowPunct/>
        <w:topLinePunct w:val="0"/>
        <w:autoSpaceDE/>
        <w:autoSpaceDN/>
        <w:bidi w:val="0"/>
        <w:adjustRightInd/>
        <w:snapToGrid/>
        <w:spacing w:line="578" w:lineRule="exact"/>
        <w:textAlignment w:val="auto"/>
        <w:rPr>
          <w:rFonts w:ascii="Times New Roman" w:hAnsi="Times New Roman" w:eastAsia="方正小标宋简体"/>
          <w:bCs/>
          <w:szCs w:val="44"/>
        </w:rPr>
      </w:pPr>
      <w:r>
        <w:rPr>
          <w:rFonts w:hint="eastAsia" w:ascii="Times New Roman" w:hAnsi="Times New Roman" w:eastAsia="方正小标宋简体"/>
          <w:bCs/>
          <w:szCs w:val="44"/>
        </w:rPr>
        <w:t>2022医保协议年度天津市定点医疗机构</w:t>
      </w:r>
    </w:p>
    <w:p>
      <w:pPr>
        <w:pStyle w:val="4"/>
        <w:keepNext w:val="0"/>
        <w:keepLines w:val="0"/>
        <w:pageBreakBefore w:val="0"/>
        <w:widowControl w:val="0"/>
        <w:kinsoku/>
        <w:wordWrap/>
        <w:overflowPunct/>
        <w:topLinePunct w:val="0"/>
        <w:autoSpaceDE/>
        <w:autoSpaceDN/>
        <w:bidi w:val="0"/>
        <w:adjustRightInd/>
        <w:snapToGrid/>
        <w:spacing w:line="578" w:lineRule="exact"/>
        <w:textAlignment w:val="auto"/>
        <w:rPr>
          <w:rFonts w:ascii="Times New Roman" w:hAnsi="Times New Roman" w:eastAsia="方正小标宋简体"/>
          <w:bCs/>
          <w:szCs w:val="44"/>
        </w:rPr>
      </w:pPr>
      <w:r>
        <w:rPr>
          <w:rFonts w:hint="eastAsia" w:ascii="Times New Roman" w:hAnsi="Times New Roman" w:eastAsia="方正小标宋简体"/>
          <w:bCs/>
          <w:szCs w:val="44"/>
        </w:rPr>
        <w:t>医保总额预算额度核定方案</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ascii="Times New Roman" w:hAnsi="Times New Roman" w:eastAsia="楷体_GB2312" w:cs="楷体_GB2312"/>
          <w:sz w:val="32"/>
          <w:szCs w:val="32"/>
        </w:rPr>
      </w:pPr>
      <w:r>
        <w:rPr>
          <w:rFonts w:hint="eastAsia" w:ascii="Times New Roman" w:hAnsi="Times New Roman" w:eastAsia="楷体_GB2312" w:cs="楷体_GB2312"/>
          <w:sz w:val="32"/>
          <w:szCs w:val="32"/>
        </w:rPr>
        <w:t>（征求意见稿）</w:t>
      </w:r>
    </w:p>
    <w:p>
      <w:pPr>
        <w:keepNext w:val="0"/>
        <w:keepLines w:val="0"/>
        <w:pageBreakBefore w:val="0"/>
        <w:widowControl w:val="0"/>
        <w:kinsoku/>
        <w:wordWrap/>
        <w:overflowPunct/>
        <w:topLinePunct w:val="0"/>
        <w:autoSpaceDE/>
        <w:autoSpaceDN/>
        <w:bidi w:val="0"/>
        <w:adjustRightInd/>
        <w:snapToGrid/>
        <w:spacing w:line="578" w:lineRule="exact"/>
        <w:ind w:right="7" w:firstLine="640" w:firstLineChars="200"/>
        <w:jc w:val="both"/>
        <w:textAlignment w:val="auto"/>
        <w:rPr>
          <w:rFonts w:ascii="Times New Roman" w:hAnsi="Times New Roman" w:eastAsia="仿宋" w:cs="仿宋"/>
          <w:sz w:val="32"/>
          <w:szCs w:val="32"/>
        </w:rPr>
      </w:pPr>
    </w:p>
    <w:p>
      <w:pPr>
        <w:pStyle w:val="8"/>
        <w:keepNext w:val="0"/>
        <w:keepLines w:val="0"/>
        <w:pageBreakBefore w:val="0"/>
        <w:widowControl w:val="0"/>
        <w:kinsoku/>
        <w:wordWrap/>
        <w:overflowPunct/>
        <w:topLinePunct w:val="0"/>
        <w:autoSpaceDE/>
        <w:autoSpaceDN/>
        <w:bidi w:val="0"/>
        <w:adjustRightInd/>
        <w:snapToGrid/>
        <w:spacing w:after="0"/>
        <w:ind w:left="0" w:leftChars="0" w:firstLine="640"/>
        <w:textAlignment w:val="auto"/>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为做好2</w:t>
      </w:r>
      <w:r>
        <w:rPr>
          <w:rFonts w:ascii="Times New Roman" w:hAnsi="Times New Roman" w:eastAsia="仿宋_GB2312"/>
          <w:color w:val="000000"/>
          <w:sz w:val="32"/>
          <w:szCs w:val="32"/>
        </w:rPr>
        <w:t>022</w:t>
      </w:r>
      <w:r>
        <w:rPr>
          <w:rFonts w:hint="eastAsia" w:ascii="Times New Roman" w:hAnsi="Times New Roman" w:eastAsia="仿宋_GB2312"/>
          <w:color w:val="000000"/>
          <w:sz w:val="32"/>
          <w:szCs w:val="32"/>
        </w:rPr>
        <w:t>医保协议年度医保总额预算管理工作，按照</w:t>
      </w:r>
      <w:r>
        <w:rPr>
          <w:rFonts w:ascii="Times New Roman" w:hAnsi="Times New Roman" w:eastAsia="仿宋_GB2312"/>
          <w:color w:val="000000"/>
          <w:sz w:val="32"/>
          <w:szCs w:val="32"/>
        </w:rPr>
        <w:t>《市医保局 市卫生健康委 市财政局关于印发天津市医疗保障区域点数法总额预算和按病种分值付费管理办法（试行）的通知》（津医保局发〔2021〕75号，以下简称《区域总额预算</w:t>
      </w:r>
      <w:r>
        <w:rPr>
          <w:rFonts w:hint="eastAsia" w:ascii="Times New Roman" w:hAnsi="Times New Roman" w:eastAsia="仿宋_GB2312"/>
          <w:color w:val="000000"/>
          <w:sz w:val="32"/>
          <w:szCs w:val="32"/>
        </w:rPr>
        <w:t>管理</w:t>
      </w:r>
      <w:r>
        <w:rPr>
          <w:rFonts w:ascii="Times New Roman" w:hAnsi="Times New Roman" w:eastAsia="仿宋_GB2312"/>
          <w:color w:val="000000"/>
          <w:sz w:val="32"/>
          <w:szCs w:val="32"/>
        </w:rPr>
        <w:t>办法》），</w:t>
      </w:r>
      <w:r>
        <w:rPr>
          <w:rFonts w:hint="eastAsia" w:ascii="Times New Roman" w:hAnsi="Times New Roman" w:eastAsia="仿宋_GB2312"/>
          <w:color w:val="000000"/>
          <w:sz w:val="32"/>
          <w:szCs w:val="32"/>
        </w:rPr>
        <w:t>结合实际运行情况，制定本方案。</w:t>
      </w:r>
    </w:p>
    <w:p>
      <w:pPr>
        <w:keepNext w:val="0"/>
        <w:keepLines w:val="0"/>
        <w:pageBreakBefore w:val="0"/>
        <w:widowControl w:val="0"/>
        <w:kinsoku/>
        <w:wordWrap/>
        <w:overflowPunct/>
        <w:topLinePunct w:val="0"/>
        <w:autoSpaceDE/>
        <w:autoSpaceDN/>
        <w:bidi w:val="0"/>
        <w:adjustRightInd/>
        <w:snapToGrid/>
        <w:spacing w:line="578" w:lineRule="exact"/>
        <w:ind w:firstLine="692" w:firstLineChars="200"/>
        <w:jc w:val="both"/>
        <w:textAlignment w:val="auto"/>
        <w:rPr>
          <w:rFonts w:ascii="Times New Roman" w:hAnsi="Times New Roman" w:eastAsia="黑体" w:cs="黑体"/>
          <w:spacing w:val="13"/>
          <w:sz w:val="32"/>
          <w:szCs w:val="32"/>
        </w:rPr>
      </w:pPr>
      <w:r>
        <w:rPr>
          <w:rFonts w:hint="eastAsia" w:ascii="Times New Roman" w:hAnsi="Times New Roman" w:eastAsia="黑体" w:cs="黑体"/>
          <w:spacing w:val="13"/>
          <w:sz w:val="32"/>
          <w:szCs w:val="32"/>
        </w:rPr>
        <w:t>一、工作目标</w:t>
      </w:r>
    </w:p>
    <w:p>
      <w:pPr>
        <w:pStyle w:val="8"/>
        <w:keepNext w:val="0"/>
        <w:keepLines w:val="0"/>
        <w:pageBreakBefore w:val="0"/>
        <w:widowControl w:val="0"/>
        <w:kinsoku/>
        <w:wordWrap/>
        <w:overflowPunct/>
        <w:topLinePunct w:val="0"/>
        <w:autoSpaceDE/>
        <w:autoSpaceDN/>
        <w:bidi w:val="0"/>
        <w:adjustRightInd/>
        <w:snapToGrid/>
        <w:spacing w:after="0"/>
        <w:ind w:left="0" w:leftChars="0" w:firstLine="640"/>
        <w:textAlignment w:val="auto"/>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按照</w:t>
      </w:r>
      <w:r>
        <w:rPr>
          <w:rFonts w:ascii="Times New Roman" w:hAnsi="Times New Roman" w:eastAsia="仿宋_GB2312"/>
          <w:color w:val="000000"/>
          <w:sz w:val="32"/>
          <w:szCs w:val="32"/>
        </w:rPr>
        <w:t>《区域总额预算</w:t>
      </w:r>
      <w:r>
        <w:rPr>
          <w:rFonts w:hint="eastAsia" w:ascii="Times New Roman" w:hAnsi="Times New Roman" w:eastAsia="仿宋_GB2312"/>
          <w:color w:val="000000"/>
          <w:sz w:val="32"/>
          <w:szCs w:val="32"/>
        </w:rPr>
        <w:t>管理</w:t>
      </w:r>
      <w:r>
        <w:rPr>
          <w:rFonts w:ascii="Times New Roman" w:hAnsi="Times New Roman" w:eastAsia="仿宋_GB2312"/>
          <w:color w:val="000000"/>
          <w:sz w:val="32"/>
          <w:szCs w:val="32"/>
        </w:rPr>
        <w:t>办法》</w:t>
      </w:r>
      <w:r>
        <w:rPr>
          <w:rFonts w:hint="eastAsia" w:ascii="Times New Roman" w:hAnsi="Times New Roman" w:eastAsia="仿宋_GB2312"/>
          <w:color w:val="000000"/>
          <w:sz w:val="32"/>
          <w:szCs w:val="32"/>
        </w:rPr>
        <w:t>规定，坚持</w:t>
      </w:r>
      <w:r>
        <w:rPr>
          <w:rFonts w:ascii="Times New Roman" w:hAnsi="Times New Roman" w:eastAsia="仿宋_GB2312"/>
          <w:color w:val="000000"/>
          <w:sz w:val="32"/>
          <w:szCs w:val="32"/>
        </w:rPr>
        <w:t>保障基本</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公平合理</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激励约束</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加强管理</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统筹推进</w:t>
      </w:r>
      <w:r>
        <w:rPr>
          <w:rFonts w:hint="eastAsia" w:ascii="Times New Roman" w:hAnsi="Times New Roman" w:eastAsia="仿宋_GB2312"/>
          <w:color w:val="000000"/>
          <w:sz w:val="32"/>
          <w:szCs w:val="32"/>
        </w:rPr>
        <w:t>原则，合理确定2022医保协议年度天津市定点医疗机构医保总额预算额度，加快推进多元复合式医保支付方式改革，发挥医保基金战略性购买作用和市场在资源配置中的决定性作用，建立区域医疗费用总额增长与医保基金收入增长相适应的调控机制，更好地平衡医疗事业发展需要和各方承受能力，推进医疗保障和医药服务高质量协同发展，提高医保基金使用效率，更好保障参保人员权益。</w:t>
      </w:r>
    </w:p>
    <w:p>
      <w:pPr>
        <w:keepNext w:val="0"/>
        <w:keepLines w:val="0"/>
        <w:pageBreakBefore w:val="0"/>
        <w:widowControl w:val="0"/>
        <w:kinsoku/>
        <w:wordWrap/>
        <w:overflowPunct/>
        <w:topLinePunct w:val="0"/>
        <w:autoSpaceDE/>
        <w:autoSpaceDN/>
        <w:bidi w:val="0"/>
        <w:adjustRightInd/>
        <w:snapToGrid/>
        <w:spacing w:line="578" w:lineRule="exact"/>
        <w:ind w:firstLine="692" w:firstLineChars="200"/>
        <w:jc w:val="both"/>
        <w:textAlignment w:val="auto"/>
        <w:rPr>
          <w:rFonts w:ascii="Times New Roman" w:hAnsi="Times New Roman" w:eastAsia="黑体" w:cs="黑体"/>
          <w:spacing w:val="13"/>
          <w:sz w:val="32"/>
          <w:szCs w:val="32"/>
        </w:rPr>
      </w:pPr>
      <w:r>
        <w:rPr>
          <w:rFonts w:hint="eastAsia" w:ascii="Times New Roman" w:hAnsi="Times New Roman" w:eastAsia="黑体" w:cs="黑体"/>
          <w:spacing w:val="13"/>
          <w:sz w:val="32"/>
          <w:szCs w:val="32"/>
        </w:rPr>
        <w:t>二、总额预算核定方法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ascii="Times New Roman" w:hAnsi="Times New Roman" w:eastAsia="楷体_GB2312" w:cs="楷体_GB2312"/>
          <w:sz w:val="32"/>
          <w:szCs w:val="32"/>
        </w:rPr>
      </w:pPr>
      <w:r>
        <w:rPr>
          <w:rFonts w:hint="eastAsia" w:ascii="Times New Roman" w:hAnsi="Times New Roman" w:eastAsia="楷体_GB2312" w:cs="楷体_GB2312"/>
          <w:sz w:val="32"/>
          <w:szCs w:val="32"/>
        </w:rPr>
        <w:t>（一）总额预算分类</w:t>
      </w:r>
    </w:p>
    <w:p>
      <w:pPr>
        <w:pStyle w:val="8"/>
        <w:keepNext w:val="0"/>
        <w:keepLines w:val="0"/>
        <w:pageBreakBefore w:val="0"/>
        <w:widowControl w:val="0"/>
        <w:kinsoku/>
        <w:wordWrap/>
        <w:overflowPunct/>
        <w:topLinePunct w:val="0"/>
        <w:autoSpaceDE/>
        <w:autoSpaceDN/>
        <w:bidi w:val="0"/>
        <w:adjustRightInd/>
        <w:snapToGrid/>
        <w:spacing w:after="0"/>
        <w:ind w:left="0" w:leftChars="0" w:firstLine="640"/>
        <w:textAlignment w:val="auto"/>
        <w:rPr>
          <w:rFonts w:hint="eastAsia" w:ascii="Times New Roman" w:hAnsi="Times New Roman" w:eastAsia="仿宋_GB2312"/>
          <w:color w:val="000000"/>
          <w:sz w:val="32"/>
          <w:szCs w:val="32"/>
        </w:rPr>
        <w:sectPr>
          <w:footerReference r:id="rId5" w:type="default"/>
          <w:pgSz w:w="11906" w:h="16838"/>
          <w:pgMar w:top="2098" w:right="1474" w:bottom="1984" w:left="1587" w:header="851" w:footer="992" w:gutter="0"/>
          <w:pgNumType w:fmt="numberInDash" w:start="2"/>
          <w:cols w:space="720" w:num="1"/>
          <w:rtlGutter w:val="1"/>
          <w:docGrid w:type="lines" w:linePitch="315" w:charSpace="0"/>
        </w:sectPr>
      </w:pPr>
    </w:p>
    <w:p>
      <w:pPr>
        <w:pStyle w:val="8"/>
        <w:keepNext w:val="0"/>
        <w:keepLines w:val="0"/>
        <w:pageBreakBefore w:val="0"/>
        <w:widowControl w:val="0"/>
        <w:kinsoku/>
        <w:wordWrap/>
        <w:overflowPunct/>
        <w:topLinePunct w:val="0"/>
        <w:autoSpaceDE/>
        <w:autoSpaceDN/>
        <w:bidi w:val="0"/>
        <w:adjustRightInd/>
        <w:snapToGrid/>
        <w:spacing w:after="0"/>
        <w:ind w:left="0" w:leftChars="0" w:firstLine="640"/>
        <w:textAlignment w:val="auto"/>
        <w:rPr>
          <w:rFonts w:ascii="Times New Roman" w:hAnsi="Times New Roman" w:eastAsia="仿宋_GB2312"/>
          <w:color w:val="000000"/>
          <w:sz w:val="32"/>
          <w:szCs w:val="32"/>
        </w:rPr>
      </w:pPr>
      <w:r>
        <w:rPr>
          <w:rFonts w:hint="eastAsia" w:ascii="Times New Roman" w:hAnsi="Times New Roman" w:eastAsia="仿宋_GB2312"/>
          <w:color w:val="000000"/>
          <w:sz w:val="32"/>
          <w:szCs w:val="32"/>
        </w:rPr>
        <w:t>2022医保协议年度全市定点医疗机构医保总额预算额度，应按照规定的支付类别、机构类别、费用类别分别核定，具体为：支付类别分为住院和门诊两类，将癌症放、化疗和镇痛治疗门诊特定疾病纳入住院医保总额预算核定范围，其他门诊特定疾病病种和普通门 （急）诊纳入门诊医保总额预算核定范围；门诊医保总额预算再按照三级医疗机构、中医医疗机构、二级医疗机构、家庭医生签约基层医疗机构以及其他基层医疗机构五个机构类别分别核定；各机构类别的门诊医保总额预算，再按照药品（西药和中成药）和医疗服务两个费用类别分别核定。</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ascii="Times New Roman" w:hAnsi="Times New Roman" w:eastAsia="楷体_GB2312" w:cs="楷体_GB2312"/>
          <w:sz w:val="32"/>
          <w:szCs w:val="32"/>
        </w:rPr>
      </w:pPr>
      <w:r>
        <w:rPr>
          <w:rFonts w:hint="eastAsia" w:ascii="Times New Roman" w:hAnsi="Times New Roman" w:eastAsia="楷体_GB2312" w:cs="楷体_GB2312"/>
          <w:sz w:val="32"/>
          <w:szCs w:val="32"/>
        </w:rPr>
        <w:t>（二）总额预算基数</w:t>
      </w:r>
    </w:p>
    <w:p>
      <w:pPr>
        <w:pStyle w:val="8"/>
        <w:keepNext w:val="0"/>
        <w:keepLines w:val="0"/>
        <w:pageBreakBefore w:val="0"/>
        <w:widowControl w:val="0"/>
        <w:kinsoku/>
        <w:wordWrap/>
        <w:overflowPunct/>
        <w:topLinePunct w:val="0"/>
        <w:autoSpaceDE/>
        <w:autoSpaceDN/>
        <w:bidi w:val="0"/>
        <w:adjustRightInd/>
        <w:snapToGrid/>
        <w:spacing w:after="0"/>
        <w:ind w:left="0" w:leftChars="0" w:firstLine="640"/>
        <w:textAlignment w:val="auto"/>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以2</w:t>
      </w:r>
      <w:r>
        <w:rPr>
          <w:rFonts w:ascii="Times New Roman" w:hAnsi="Times New Roman" w:eastAsia="仿宋_GB2312"/>
          <w:color w:val="000000"/>
          <w:sz w:val="32"/>
          <w:szCs w:val="32"/>
        </w:rPr>
        <w:t>021</w:t>
      </w:r>
      <w:r>
        <w:rPr>
          <w:rFonts w:hint="eastAsia" w:ascii="Times New Roman" w:hAnsi="Times New Roman" w:eastAsia="仿宋_GB2312"/>
          <w:color w:val="000000"/>
          <w:sz w:val="32"/>
          <w:szCs w:val="32"/>
        </w:rPr>
        <w:t>年度本市医保基金和参保人员向全市定点医疗机构购买服务所支付的医疗费用总额（以下简称“全市医疗费用总额”），作为2022医保协议年度全市定点医疗机构医保总额预算额度的核定基数，并按照上述支付类别、机构类别、费用类别进行细分。其中，医保基金支付的医疗费用，包含落实按病种定额付费和药品耗材集中采购激励约束机制，由定点医疗机构结余留用的金额；2</w:t>
      </w:r>
      <w:r>
        <w:rPr>
          <w:rFonts w:ascii="Times New Roman" w:hAnsi="Times New Roman" w:eastAsia="仿宋_GB2312"/>
          <w:color w:val="000000"/>
          <w:sz w:val="32"/>
          <w:szCs w:val="32"/>
        </w:rPr>
        <w:t>021</w:t>
      </w:r>
      <w:r>
        <w:rPr>
          <w:rFonts w:hint="eastAsia" w:ascii="Times New Roman" w:hAnsi="Times New Roman" w:eastAsia="仿宋_GB2312"/>
          <w:color w:val="000000"/>
          <w:sz w:val="32"/>
          <w:szCs w:val="32"/>
        </w:rPr>
        <w:t>年度参保人员在定点零售药店发生的无法</w:t>
      </w:r>
      <w:r>
        <w:rPr>
          <w:rFonts w:hint="eastAsia" w:ascii="Times New Roman" w:hAnsi="Times New Roman" w:eastAsia="仿宋_GB2312" w:cs="仿宋_GB2312"/>
          <w:sz w:val="32"/>
          <w:szCs w:val="32"/>
        </w:rPr>
        <w:t>追溯至开具处方定点医疗机构的药品费用，按规定纳入</w:t>
      </w:r>
      <w:r>
        <w:rPr>
          <w:rFonts w:hint="eastAsia" w:ascii="Times New Roman" w:hAnsi="Times New Roman" w:eastAsia="仿宋_GB2312"/>
          <w:color w:val="000000"/>
          <w:sz w:val="32"/>
          <w:szCs w:val="32"/>
        </w:rPr>
        <w:t>2022医保协议年度全市定点医疗机构医保总额预算额度的核定基数</w:t>
      </w:r>
      <w:r>
        <w:rPr>
          <w:rFonts w:hint="eastAsia" w:ascii="Times New Roman" w:hAnsi="Times New Roman" w:eastAsia="仿宋_GB2312" w:cs="仿宋_GB2312"/>
          <w:sz w:val="32"/>
          <w:szCs w:val="32"/>
        </w:rPr>
        <w:t>，作为门诊药品购买总额，暂不分配至各机构类别，年初按规定统筹调剂使用。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ascii="Times New Roman" w:hAnsi="Times New Roman" w:eastAsia="楷体_GB2312" w:cs="楷体_GB2312"/>
          <w:sz w:val="32"/>
          <w:szCs w:val="32"/>
        </w:rPr>
      </w:pPr>
      <w:r>
        <w:rPr>
          <w:rFonts w:hint="eastAsia" w:ascii="Times New Roman" w:hAnsi="Times New Roman" w:eastAsia="楷体_GB2312" w:cs="楷体_GB2312"/>
          <w:sz w:val="32"/>
          <w:szCs w:val="32"/>
        </w:rPr>
        <w:t>（三）考虑增长因素</w:t>
      </w:r>
    </w:p>
    <w:p>
      <w:pPr>
        <w:pStyle w:val="8"/>
        <w:keepNext w:val="0"/>
        <w:keepLines w:val="0"/>
        <w:pageBreakBefore w:val="0"/>
        <w:widowControl w:val="0"/>
        <w:kinsoku/>
        <w:wordWrap/>
        <w:overflowPunct/>
        <w:topLinePunct w:val="0"/>
        <w:autoSpaceDE/>
        <w:autoSpaceDN/>
        <w:bidi w:val="0"/>
        <w:adjustRightInd/>
        <w:snapToGrid/>
        <w:spacing w:after="0"/>
        <w:ind w:left="0" w:leftChars="0" w:firstLine="640"/>
        <w:textAlignment w:val="auto"/>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以2022医保协议年度各类别医保总额预算额度核定基数为基础，考虑下列增长因素后，分别核定2022医保协议年度各类别的医保总额预算额度。</w:t>
      </w:r>
    </w:p>
    <w:p>
      <w:pPr>
        <w:pStyle w:val="8"/>
        <w:keepNext w:val="0"/>
        <w:keepLines w:val="0"/>
        <w:pageBreakBefore w:val="0"/>
        <w:widowControl w:val="0"/>
        <w:kinsoku/>
        <w:wordWrap/>
        <w:overflowPunct/>
        <w:topLinePunct w:val="0"/>
        <w:autoSpaceDE/>
        <w:autoSpaceDN/>
        <w:bidi w:val="0"/>
        <w:adjustRightInd/>
        <w:snapToGrid/>
        <w:spacing w:after="0"/>
        <w:ind w:left="0" w:leftChars="0" w:firstLine="640"/>
        <w:textAlignment w:val="auto"/>
        <w:rPr>
          <w:rFonts w:ascii="Times New Roman" w:hAnsi="Times New Roman" w:eastAsia="仿宋_GB2312"/>
          <w:color w:val="000000"/>
          <w:sz w:val="32"/>
          <w:szCs w:val="32"/>
        </w:rPr>
      </w:pPr>
      <w:r>
        <w:rPr>
          <w:rFonts w:hint="eastAsia" w:ascii="Times New Roman" w:hAnsi="Times New Roman" w:eastAsia="仿宋_GB2312"/>
          <w:color w:val="000000"/>
          <w:sz w:val="32"/>
          <w:szCs w:val="32"/>
        </w:rPr>
        <w:t>1．年均医疗费用增幅。以2022医保协议年度各类别医保总额预算额度核定基数为基础，根据</w:t>
      </w:r>
      <w:r>
        <w:rPr>
          <w:rFonts w:ascii="Times New Roman" w:hAnsi="Times New Roman" w:eastAsia="仿宋_GB2312"/>
          <w:color w:val="000000"/>
          <w:sz w:val="32"/>
          <w:szCs w:val="32"/>
        </w:rPr>
        <w:t>2019</w:t>
      </w:r>
      <w:r>
        <w:rPr>
          <w:rFonts w:hint="eastAsia" w:ascii="Times New Roman" w:hAnsi="Times New Roman" w:eastAsia="仿宋_GB2312"/>
          <w:color w:val="000000"/>
          <w:sz w:val="32"/>
          <w:szCs w:val="32"/>
        </w:rPr>
        <w:t>年至2</w:t>
      </w:r>
      <w:r>
        <w:rPr>
          <w:rFonts w:ascii="Times New Roman" w:hAnsi="Times New Roman" w:eastAsia="仿宋_GB2312"/>
          <w:color w:val="000000"/>
          <w:sz w:val="32"/>
          <w:szCs w:val="32"/>
        </w:rPr>
        <w:t>021</w:t>
      </w:r>
      <w:r>
        <w:rPr>
          <w:rFonts w:hint="eastAsia" w:ascii="Times New Roman" w:hAnsi="Times New Roman" w:eastAsia="仿宋_GB2312"/>
          <w:color w:val="000000"/>
          <w:sz w:val="32"/>
          <w:szCs w:val="32"/>
        </w:rPr>
        <w:t>年全市医疗费用总额的年均增幅，统一考虑增长因素。</w:t>
      </w:r>
    </w:p>
    <w:p>
      <w:pPr>
        <w:pStyle w:val="8"/>
        <w:keepNext w:val="0"/>
        <w:keepLines w:val="0"/>
        <w:pageBreakBefore w:val="0"/>
        <w:widowControl w:val="0"/>
        <w:kinsoku/>
        <w:wordWrap/>
        <w:overflowPunct/>
        <w:topLinePunct w:val="0"/>
        <w:autoSpaceDE/>
        <w:autoSpaceDN/>
        <w:bidi w:val="0"/>
        <w:adjustRightInd/>
        <w:snapToGrid/>
        <w:spacing w:after="0"/>
        <w:ind w:left="0" w:leftChars="0" w:firstLine="640"/>
        <w:textAlignment w:val="auto"/>
        <w:rPr>
          <w:rFonts w:ascii="Times New Roman" w:hAnsi="Times New Roman" w:eastAsia="仿宋_GB2312"/>
          <w:color w:val="000000"/>
          <w:sz w:val="32"/>
          <w:szCs w:val="32"/>
        </w:rPr>
      </w:pP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．医保政策调整因素。</w:t>
      </w:r>
    </w:p>
    <w:p>
      <w:pPr>
        <w:pStyle w:val="8"/>
        <w:keepNext w:val="0"/>
        <w:keepLines w:val="0"/>
        <w:pageBreakBefore w:val="0"/>
        <w:widowControl w:val="0"/>
        <w:kinsoku/>
        <w:wordWrap/>
        <w:overflowPunct/>
        <w:topLinePunct w:val="0"/>
        <w:autoSpaceDE/>
        <w:autoSpaceDN/>
        <w:bidi w:val="0"/>
        <w:adjustRightInd/>
        <w:snapToGrid/>
        <w:spacing w:after="0"/>
        <w:ind w:left="0" w:leftChars="0" w:firstLine="640"/>
        <w:textAlignment w:val="auto"/>
        <w:rPr>
          <w:rFonts w:ascii="Times New Roman" w:hAnsi="Times New Roman" w:eastAsia="仿宋_GB2312"/>
          <w:color w:val="000000"/>
          <w:sz w:val="32"/>
          <w:szCs w:val="32"/>
        </w:rPr>
      </w:pPr>
      <w:r>
        <w:rPr>
          <w:rFonts w:hint="eastAsia" w:ascii="Times New Roman" w:hAnsi="Times New Roman" w:eastAsia="仿宋_GB2312"/>
          <w:color w:val="000000"/>
          <w:sz w:val="32"/>
          <w:szCs w:val="32"/>
        </w:rPr>
        <w:t>（1）职工门诊政策调整。根据《天津市人民政府办公厅印发关于健全职工基本医疗保险门诊共济保障制度实施办法的通知》（津政办规〔2021〕16 号），自2022年1月1日起，职工医保普通门（急）诊最高支付限额由7</w:t>
      </w:r>
      <w:r>
        <w:rPr>
          <w:rFonts w:ascii="Times New Roman" w:hAnsi="Times New Roman" w:eastAsia="仿宋_GB2312"/>
          <w:color w:val="000000"/>
          <w:sz w:val="32"/>
          <w:szCs w:val="32"/>
        </w:rPr>
        <w:t>500</w:t>
      </w:r>
      <w:r>
        <w:rPr>
          <w:rFonts w:hint="eastAsia" w:ascii="Times New Roman" w:hAnsi="Times New Roman" w:eastAsia="仿宋_GB2312"/>
          <w:color w:val="000000"/>
          <w:sz w:val="32"/>
          <w:szCs w:val="32"/>
        </w:rPr>
        <w:t>元调整为9000元。根据该项政策调整相应增加门诊支付类别的医保总额预算额度，并依据2</w:t>
      </w:r>
      <w:r>
        <w:rPr>
          <w:rFonts w:ascii="Times New Roman" w:hAnsi="Times New Roman" w:eastAsia="仿宋_GB2312"/>
          <w:color w:val="000000"/>
          <w:sz w:val="32"/>
          <w:szCs w:val="32"/>
        </w:rPr>
        <w:t>021</w:t>
      </w:r>
      <w:r>
        <w:rPr>
          <w:rFonts w:hint="eastAsia" w:ascii="Times New Roman" w:hAnsi="Times New Roman" w:eastAsia="仿宋_GB2312"/>
          <w:color w:val="000000"/>
          <w:sz w:val="32"/>
          <w:szCs w:val="32"/>
        </w:rPr>
        <w:t>年度职工医保普通门（急）诊费用分布情况，将增加的总额预算额度细分至各机构类别和费用类别。</w:t>
      </w:r>
    </w:p>
    <w:p>
      <w:pPr>
        <w:pStyle w:val="8"/>
        <w:keepNext w:val="0"/>
        <w:keepLines w:val="0"/>
        <w:pageBreakBefore w:val="0"/>
        <w:widowControl w:val="0"/>
        <w:kinsoku/>
        <w:wordWrap/>
        <w:overflowPunct/>
        <w:topLinePunct w:val="0"/>
        <w:autoSpaceDE/>
        <w:autoSpaceDN/>
        <w:bidi w:val="0"/>
        <w:adjustRightInd/>
        <w:snapToGrid/>
        <w:spacing w:after="0"/>
        <w:ind w:left="0" w:leftChars="0" w:firstLine="640"/>
        <w:textAlignment w:val="auto"/>
        <w:rPr>
          <w:rFonts w:ascii="Times New Roman" w:hAnsi="Times New Roman" w:eastAsia="仿宋_GB2312"/>
          <w:color w:val="000000"/>
          <w:sz w:val="32"/>
          <w:szCs w:val="32"/>
        </w:rPr>
      </w:pPr>
      <w:r>
        <w:rPr>
          <w:rFonts w:hint="eastAsia" w:ascii="Times New Roman" w:hAnsi="Times New Roman" w:eastAsia="仿宋_GB2312"/>
          <w:color w:val="000000"/>
          <w:sz w:val="32"/>
          <w:szCs w:val="32"/>
        </w:rPr>
        <w:t>（2）居民门诊政策调整。根据《市医保局关于做好城乡居民基本医疗保险门（急）诊就医报销工作的通知》（津医保局发〔2021〕103 号），自2022年1月1日起，参保居民在本市三级医疗机构门（急）诊就医发生的医疗费用按规定纳入医保报销范围。根据该项政策调整，依据2</w:t>
      </w:r>
      <w:r>
        <w:rPr>
          <w:rFonts w:ascii="Times New Roman" w:hAnsi="Times New Roman" w:eastAsia="仿宋_GB2312"/>
          <w:color w:val="000000"/>
          <w:sz w:val="32"/>
          <w:szCs w:val="32"/>
        </w:rPr>
        <w:t>022</w:t>
      </w:r>
      <w:r>
        <w:rPr>
          <w:rFonts w:hint="eastAsia" w:ascii="Times New Roman" w:hAnsi="Times New Roman" w:eastAsia="仿宋_GB2312"/>
          <w:color w:val="000000"/>
          <w:sz w:val="32"/>
          <w:szCs w:val="32"/>
        </w:rPr>
        <w:t>年度1</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月居民医保普通门（急）诊在三级医疗机构和中医医疗机构的费用分布情况，相应增加这两个机构类别的门诊医保总额预算额度，并将增量预算额度细分至这两个机构类别的各费用类别。</w:t>
      </w:r>
    </w:p>
    <w:p>
      <w:pPr>
        <w:keepNext w:val="0"/>
        <w:keepLines w:val="0"/>
        <w:pageBreakBefore w:val="0"/>
        <w:widowControl w:val="0"/>
        <w:kinsoku/>
        <w:wordWrap/>
        <w:overflowPunct/>
        <w:topLinePunct w:val="0"/>
        <w:autoSpaceDE/>
        <w:autoSpaceDN/>
        <w:bidi w:val="0"/>
        <w:adjustRightInd/>
        <w:snapToGrid/>
        <w:spacing w:line="578" w:lineRule="exact"/>
        <w:ind w:firstLine="692" w:firstLineChars="200"/>
        <w:jc w:val="both"/>
        <w:textAlignment w:val="auto"/>
        <w:rPr>
          <w:rFonts w:ascii="Times New Roman" w:hAnsi="Times New Roman" w:eastAsia="黑体" w:cs="黑体"/>
          <w:spacing w:val="13"/>
          <w:sz w:val="32"/>
          <w:szCs w:val="32"/>
        </w:rPr>
      </w:pPr>
      <w:r>
        <w:rPr>
          <w:rFonts w:hint="eastAsia" w:ascii="Times New Roman" w:hAnsi="Times New Roman" w:eastAsia="黑体" w:cs="黑体"/>
          <w:spacing w:val="13"/>
          <w:sz w:val="32"/>
          <w:szCs w:val="32"/>
        </w:rPr>
        <w:t>三、总额预算核定情况</w:t>
      </w:r>
    </w:p>
    <w:p>
      <w:pPr>
        <w:pStyle w:val="8"/>
        <w:keepNext w:val="0"/>
        <w:keepLines w:val="0"/>
        <w:pageBreakBefore w:val="0"/>
        <w:widowControl w:val="0"/>
        <w:kinsoku/>
        <w:wordWrap/>
        <w:overflowPunct/>
        <w:topLinePunct w:val="0"/>
        <w:autoSpaceDE/>
        <w:autoSpaceDN/>
        <w:bidi w:val="0"/>
        <w:adjustRightInd/>
        <w:snapToGrid/>
        <w:spacing w:after="0"/>
        <w:ind w:left="0" w:leftChars="0" w:firstLine="640"/>
        <w:textAlignment w:val="auto"/>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按照上述总额预算核定方法测算，2</w:t>
      </w:r>
      <w:r>
        <w:rPr>
          <w:rFonts w:ascii="Times New Roman" w:hAnsi="Times New Roman" w:eastAsia="仿宋_GB2312"/>
          <w:color w:val="000000"/>
          <w:sz w:val="32"/>
          <w:szCs w:val="32"/>
        </w:rPr>
        <w:t>021</w:t>
      </w:r>
      <w:r>
        <w:rPr>
          <w:rFonts w:hint="eastAsia" w:ascii="Times New Roman" w:hAnsi="Times New Roman" w:eastAsia="仿宋_GB2312"/>
          <w:color w:val="000000"/>
          <w:sz w:val="32"/>
          <w:szCs w:val="32"/>
        </w:rPr>
        <w:t>年度本市医保基金和参保人员向全市定点医疗机构购买服务所支付的医疗费用总额为510.33亿元（含按病种定额付费和药品耗材集中采购应由定点医疗机构结余留用金额1</w:t>
      </w:r>
      <w:r>
        <w:rPr>
          <w:rFonts w:ascii="Times New Roman" w:hAnsi="Times New Roman" w:eastAsia="仿宋_GB2312"/>
          <w:color w:val="000000"/>
          <w:sz w:val="32"/>
          <w:szCs w:val="32"/>
        </w:rPr>
        <w:t>6.61</w:t>
      </w:r>
      <w:r>
        <w:rPr>
          <w:rFonts w:hint="eastAsia" w:ascii="Times New Roman" w:hAnsi="Times New Roman" w:eastAsia="仿宋_GB2312"/>
          <w:color w:val="000000"/>
          <w:sz w:val="32"/>
          <w:szCs w:val="32"/>
        </w:rPr>
        <w:t>亿元），以此为2022医保协议年度全市定点医疗机构医保总额预算额度的核定基数，按照</w:t>
      </w:r>
      <w:r>
        <w:rPr>
          <w:rFonts w:ascii="Times New Roman" w:hAnsi="Times New Roman" w:eastAsia="仿宋_GB2312"/>
          <w:color w:val="000000"/>
          <w:sz w:val="32"/>
          <w:szCs w:val="32"/>
        </w:rPr>
        <w:t>2019</w:t>
      </w:r>
      <w:r>
        <w:rPr>
          <w:rFonts w:hint="eastAsia" w:ascii="Times New Roman" w:hAnsi="Times New Roman" w:eastAsia="仿宋_GB2312"/>
          <w:color w:val="000000"/>
          <w:sz w:val="32"/>
          <w:szCs w:val="32"/>
        </w:rPr>
        <w:t>年至2</w:t>
      </w:r>
      <w:r>
        <w:rPr>
          <w:rFonts w:ascii="Times New Roman" w:hAnsi="Times New Roman" w:eastAsia="仿宋_GB2312"/>
          <w:color w:val="000000"/>
          <w:sz w:val="32"/>
          <w:szCs w:val="32"/>
        </w:rPr>
        <w:t>021</w:t>
      </w:r>
      <w:r>
        <w:rPr>
          <w:rFonts w:hint="eastAsia" w:ascii="Times New Roman" w:hAnsi="Times New Roman" w:eastAsia="仿宋_GB2312"/>
          <w:color w:val="000000"/>
          <w:sz w:val="32"/>
          <w:szCs w:val="32"/>
        </w:rPr>
        <w:t>年全市医疗费用总额年均增幅5.51%考虑增长因素后为5</w:t>
      </w:r>
      <w:r>
        <w:rPr>
          <w:rFonts w:ascii="Times New Roman" w:hAnsi="Times New Roman" w:eastAsia="仿宋_GB2312"/>
          <w:color w:val="000000"/>
          <w:sz w:val="32"/>
          <w:szCs w:val="32"/>
        </w:rPr>
        <w:t>38</w:t>
      </w:r>
      <w:r>
        <w:rPr>
          <w:rFonts w:hint="eastAsia" w:ascii="Times New Roman" w:hAnsi="Times New Roman" w:eastAsia="仿宋_GB2312"/>
          <w:color w:val="000000"/>
          <w:sz w:val="32"/>
          <w:szCs w:val="32"/>
        </w:rPr>
        <w:t>.4</w:t>
      </w:r>
      <w:r>
        <w:rPr>
          <w:rFonts w:ascii="Times New Roman" w:hAnsi="Times New Roman" w:eastAsia="仿宋_GB2312"/>
          <w:color w:val="000000"/>
          <w:sz w:val="32"/>
          <w:szCs w:val="32"/>
        </w:rPr>
        <w:t>5</w:t>
      </w:r>
      <w:r>
        <w:rPr>
          <w:rFonts w:hint="eastAsia" w:ascii="Times New Roman" w:hAnsi="Times New Roman" w:eastAsia="仿宋_GB2312"/>
          <w:color w:val="000000"/>
          <w:sz w:val="32"/>
          <w:szCs w:val="32"/>
        </w:rPr>
        <w:t>亿元，再考虑职工门诊政策调整和居民门诊政策调整各增加1</w:t>
      </w:r>
      <w:r>
        <w:rPr>
          <w:rFonts w:ascii="Times New Roman" w:hAnsi="Times New Roman" w:eastAsia="仿宋_GB2312"/>
          <w:color w:val="000000"/>
          <w:sz w:val="32"/>
          <w:szCs w:val="32"/>
        </w:rPr>
        <w:t>0</w:t>
      </w:r>
      <w:r>
        <w:rPr>
          <w:rFonts w:hint="eastAsia" w:ascii="Times New Roman" w:hAnsi="Times New Roman" w:eastAsia="仿宋_GB2312"/>
          <w:color w:val="000000"/>
          <w:sz w:val="32"/>
          <w:szCs w:val="32"/>
        </w:rPr>
        <w:t>亿元总额预算额度，2022医保协议年度全市定点医疗机构医保总额预算额度为5</w:t>
      </w:r>
      <w:r>
        <w:rPr>
          <w:rFonts w:ascii="Times New Roman" w:hAnsi="Times New Roman" w:eastAsia="仿宋_GB2312"/>
          <w:color w:val="000000"/>
          <w:sz w:val="32"/>
          <w:szCs w:val="32"/>
        </w:rPr>
        <w:t>58.45</w:t>
      </w:r>
      <w:r>
        <w:rPr>
          <w:rFonts w:hint="eastAsia" w:ascii="Times New Roman" w:hAnsi="Times New Roman" w:eastAsia="仿宋_GB2312"/>
          <w:color w:val="000000"/>
          <w:sz w:val="32"/>
          <w:szCs w:val="32"/>
        </w:rPr>
        <w:t>亿元。其中，住院、门诊支付类别的2022医保协议年度医保总额预算额度分别为</w:t>
      </w:r>
      <w:r>
        <w:rPr>
          <w:rFonts w:hint="eastAsia" w:ascii="Times New Roman" w:hAnsi="Times New Roman" w:eastAsia="仿宋" w:cs="仿宋"/>
          <w:sz w:val="32"/>
          <w:szCs w:val="32"/>
        </w:rPr>
        <w:t>247.9</w:t>
      </w:r>
      <w:r>
        <w:rPr>
          <w:rFonts w:ascii="Times New Roman" w:hAnsi="Times New Roman" w:eastAsia="仿宋" w:cs="仿宋"/>
          <w:sz w:val="32"/>
          <w:szCs w:val="32"/>
        </w:rPr>
        <w:t>8</w:t>
      </w:r>
      <w:r>
        <w:rPr>
          <w:rFonts w:hint="eastAsia" w:ascii="Times New Roman" w:hAnsi="Times New Roman" w:eastAsia="仿宋" w:cs="仿宋"/>
          <w:sz w:val="32"/>
          <w:szCs w:val="32"/>
        </w:rPr>
        <w:t>亿元和310.47亿元，</w:t>
      </w:r>
      <w:r>
        <w:rPr>
          <w:rFonts w:hint="eastAsia" w:ascii="Times New Roman" w:hAnsi="Times New Roman" w:eastAsia="仿宋_GB2312"/>
          <w:color w:val="000000"/>
          <w:sz w:val="32"/>
          <w:szCs w:val="32"/>
        </w:rPr>
        <w:t>门诊医保总额预算额度的各细分类别测算情况如下。</w:t>
      </w:r>
    </w:p>
    <w:tbl>
      <w:tblPr>
        <w:tblStyle w:val="9"/>
        <w:tblW w:w="5000" w:type="pct"/>
        <w:tblInd w:w="0" w:type="dxa"/>
        <w:tblLayout w:type="autofit"/>
        <w:tblCellMar>
          <w:top w:w="0" w:type="dxa"/>
          <w:left w:w="108" w:type="dxa"/>
          <w:bottom w:w="0" w:type="dxa"/>
          <w:right w:w="108" w:type="dxa"/>
        </w:tblCellMar>
      </w:tblPr>
      <w:tblGrid>
        <w:gridCol w:w="2470"/>
        <w:gridCol w:w="1946"/>
        <w:gridCol w:w="2537"/>
        <w:gridCol w:w="2108"/>
      </w:tblGrid>
      <w:tr>
        <w:trPr>
          <w:trHeight w:val="20" w:hRule="atLeast"/>
        </w:trPr>
        <w:tc>
          <w:tcPr>
            <w:tcW w:w="5000" w:type="pct"/>
            <w:gridSpan w:val="4"/>
            <w:tcBorders>
              <w:top w:val="nil"/>
              <w:left w:val="nil"/>
              <w:bottom w:val="nil"/>
              <w:right w:val="nil"/>
            </w:tcBorders>
            <w:shd w:val="clear" w:color="auto" w:fill="auto"/>
            <w:noWrap/>
            <w:vAlign w:val="center"/>
          </w:tcPr>
          <w:p>
            <w:pPr>
              <w:pStyle w:val="4"/>
              <w:spacing w:line="578" w:lineRule="exact"/>
              <w:rPr>
                <w:rFonts w:ascii="Times New Roman" w:hAnsi="Times New Roman" w:eastAsia="方正小标宋简体"/>
                <w:bCs/>
                <w:sz w:val="32"/>
                <w:szCs w:val="32"/>
              </w:rPr>
            </w:pPr>
            <w:r>
              <w:rPr>
                <w:rFonts w:hint="eastAsia" w:ascii="Times New Roman" w:hAnsi="Times New Roman" w:eastAsia="方正小标宋简体"/>
                <w:bCs/>
                <w:sz w:val="32"/>
                <w:szCs w:val="32"/>
              </w:rPr>
              <w:t>2</w:t>
            </w:r>
            <w:r>
              <w:rPr>
                <w:rFonts w:ascii="Times New Roman" w:hAnsi="Times New Roman" w:eastAsia="方正小标宋简体"/>
                <w:bCs/>
                <w:sz w:val="32"/>
                <w:szCs w:val="32"/>
              </w:rPr>
              <w:t>0</w:t>
            </w:r>
            <w:r>
              <w:rPr>
                <w:rFonts w:hint="eastAsia" w:ascii="Times New Roman" w:hAnsi="Times New Roman" w:eastAsia="方正小标宋简体"/>
                <w:bCs/>
                <w:sz w:val="32"/>
                <w:szCs w:val="32"/>
              </w:rPr>
              <w:t>22医保协议年度门诊医保总额预算额度</w:t>
            </w:r>
          </w:p>
        </w:tc>
      </w:tr>
      <w:tr>
        <w:tblPrEx>
          <w:tblCellMar>
            <w:top w:w="0" w:type="dxa"/>
            <w:left w:w="108" w:type="dxa"/>
            <w:bottom w:w="0" w:type="dxa"/>
            <w:right w:w="108" w:type="dxa"/>
          </w:tblCellMar>
        </w:tblPrEx>
        <w:trPr>
          <w:trHeight w:val="20" w:hRule="atLeast"/>
        </w:trPr>
        <w:tc>
          <w:tcPr>
            <w:tcW w:w="1363" w:type="pct"/>
            <w:tcBorders>
              <w:top w:val="nil"/>
              <w:left w:val="nil"/>
              <w:bottom w:val="nil"/>
              <w:right w:val="nil"/>
            </w:tcBorders>
            <w:shd w:val="clear" w:color="auto" w:fill="auto"/>
            <w:noWrap/>
            <w:vAlign w:val="center"/>
          </w:tcPr>
          <w:p>
            <w:pPr>
              <w:spacing w:line="578" w:lineRule="exact"/>
              <w:ind w:firstLine="600" w:firstLineChars="200"/>
              <w:jc w:val="both"/>
              <w:rPr>
                <w:rFonts w:ascii="Times New Roman" w:hAnsi="Times New Roman" w:eastAsia="方正公文小标宋" w:cs="方正公文小标宋"/>
                <w:sz w:val="30"/>
                <w:szCs w:val="30"/>
              </w:rPr>
            </w:pPr>
          </w:p>
        </w:tc>
        <w:tc>
          <w:tcPr>
            <w:tcW w:w="1074" w:type="pct"/>
            <w:tcBorders>
              <w:top w:val="nil"/>
              <w:left w:val="nil"/>
              <w:bottom w:val="nil"/>
              <w:right w:val="nil"/>
            </w:tcBorders>
            <w:shd w:val="clear" w:color="auto" w:fill="auto"/>
            <w:noWrap/>
            <w:vAlign w:val="center"/>
          </w:tcPr>
          <w:p>
            <w:pPr>
              <w:spacing w:line="578" w:lineRule="exact"/>
              <w:ind w:firstLine="600" w:firstLineChars="200"/>
              <w:jc w:val="both"/>
              <w:rPr>
                <w:rFonts w:ascii="Times New Roman" w:hAnsi="Times New Roman" w:eastAsia="方正公文小标宋" w:cs="方正公文小标宋"/>
                <w:sz w:val="30"/>
                <w:szCs w:val="30"/>
              </w:rPr>
            </w:pPr>
          </w:p>
        </w:tc>
        <w:tc>
          <w:tcPr>
            <w:tcW w:w="1400" w:type="pct"/>
            <w:tcBorders>
              <w:top w:val="nil"/>
              <w:left w:val="nil"/>
              <w:bottom w:val="nil"/>
              <w:right w:val="nil"/>
            </w:tcBorders>
            <w:shd w:val="clear" w:color="auto" w:fill="auto"/>
            <w:noWrap/>
            <w:vAlign w:val="center"/>
          </w:tcPr>
          <w:p>
            <w:pPr>
              <w:spacing w:line="578" w:lineRule="exact"/>
              <w:ind w:firstLine="600" w:firstLineChars="200"/>
              <w:jc w:val="both"/>
              <w:rPr>
                <w:rFonts w:ascii="Times New Roman" w:hAnsi="Times New Roman" w:eastAsia="方正公文小标宋" w:cs="方正公文小标宋"/>
                <w:sz w:val="30"/>
                <w:szCs w:val="30"/>
              </w:rPr>
            </w:pPr>
          </w:p>
        </w:tc>
        <w:tc>
          <w:tcPr>
            <w:tcW w:w="1163" w:type="pct"/>
            <w:tcBorders>
              <w:top w:val="nil"/>
              <w:left w:val="nil"/>
              <w:bottom w:val="nil"/>
              <w:right w:val="nil"/>
            </w:tcBorders>
            <w:shd w:val="clear" w:color="auto" w:fill="auto"/>
            <w:noWrap/>
            <w:vAlign w:val="center"/>
          </w:tcPr>
          <w:p>
            <w:pPr>
              <w:pStyle w:val="8"/>
              <w:spacing w:after="0"/>
              <w:ind w:left="0" w:leftChars="0" w:firstLine="0" w:firstLineChars="0"/>
              <w:rPr>
                <w:rFonts w:ascii="Times New Roman" w:hAnsi="Times New Roman" w:cs="宋体"/>
                <w:sz w:val="30"/>
                <w:szCs w:val="30"/>
              </w:rPr>
            </w:pPr>
            <w:r>
              <w:rPr>
                <w:rFonts w:hint="eastAsia" w:ascii="Times New Roman" w:hAnsi="Times New Roman" w:eastAsia="仿宋_GB2312"/>
                <w:color w:val="000000"/>
                <w:sz w:val="30"/>
                <w:szCs w:val="30"/>
              </w:rPr>
              <w:t>单位：亿元</w:t>
            </w:r>
          </w:p>
        </w:tc>
      </w:tr>
      <w:tr>
        <w:tblPrEx>
          <w:tblCellMar>
            <w:top w:w="0" w:type="dxa"/>
            <w:left w:w="108" w:type="dxa"/>
            <w:bottom w:w="0" w:type="dxa"/>
            <w:right w:w="108" w:type="dxa"/>
          </w:tblCellMar>
        </w:tblPrEx>
        <w:trPr>
          <w:trHeight w:val="20" w:hRule="atLeast"/>
        </w:trPr>
        <w:tc>
          <w:tcPr>
            <w:tcW w:w="1363" w:type="pct"/>
            <w:vMerge w:val="restart"/>
            <w:tcBorders>
              <w:top w:val="single" w:color="000000" w:sz="4" w:space="0"/>
              <w:left w:val="single" w:color="000000" w:sz="4" w:space="0"/>
              <w:right w:val="single" w:color="000000" w:sz="4" w:space="0"/>
            </w:tcBorders>
            <w:shd w:val="clear" w:color="auto" w:fill="auto"/>
            <w:vAlign w:val="center"/>
          </w:tcPr>
          <w:p>
            <w:pPr>
              <w:pStyle w:val="8"/>
              <w:spacing w:after="0"/>
              <w:ind w:left="0" w:leftChars="0" w:firstLine="0" w:firstLineChars="0"/>
              <w:jc w:val="center"/>
              <w:rPr>
                <w:rFonts w:ascii="Times New Roman" w:hAnsi="Times New Roman" w:eastAsia="仿宋" w:cs="仿宋"/>
                <w:sz w:val="30"/>
                <w:szCs w:val="30"/>
              </w:rPr>
            </w:pPr>
            <w:r>
              <w:rPr>
                <w:rFonts w:hint="eastAsia" w:ascii="Times New Roman" w:hAnsi="Times New Roman" w:eastAsia="仿宋" w:cs="仿宋"/>
                <w:sz w:val="30"/>
                <w:szCs w:val="30"/>
              </w:rPr>
              <w:t>医疗机构类别</w:t>
            </w:r>
          </w:p>
        </w:tc>
        <w:tc>
          <w:tcPr>
            <w:tcW w:w="363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after="0"/>
              <w:ind w:left="0" w:leftChars="0" w:firstLine="600"/>
              <w:jc w:val="center"/>
              <w:rPr>
                <w:rFonts w:ascii="Times New Roman" w:hAnsi="Times New Roman" w:eastAsia="仿宋" w:cs="仿宋"/>
                <w:sz w:val="30"/>
                <w:szCs w:val="30"/>
              </w:rPr>
            </w:pPr>
            <w:r>
              <w:rPr>
                <w:rFonts w:hint="eastAsia" w:ascii="Times New Roman" w:hAnsi="Times New Roman" w:eastAsia="仿宋" w:cs="仿宋"/>
                <w:sz w:val="30"/>
                <w:szCs w:val="30"/>
              </w:rPr>
              <w:t>门诊购买总额</w:t>
            </w:r>
          </w:p>
        </w:tc>
      </w:tr>
      <w:tr>
        <w:tblPrEx>
          <w:tblCellMar>
            <w:top w:w="0" w:type="dxa"/>
            <w:left w:w="108" w:type="dxa"/>
            <w:bottom w:w="0" w:type="dxa"/>
            <w:right w:w="108" w:type="dxa"/>
          </w:tblCellMar>
        </w:tblPrEx>
        <w:trPr>
          <w:trHeight w:val="20" w:hRule="atLeast"/>
        </w:trPr>
        <w:tc>
          <w:tcPr>
            <w:tcW w:w="1363" w:type="pct"/>
            <w:vMerge w:val="continue"/>
            <w:tcBorders>
              <w:left w:val="single" w:color="000000" w:sz="4" w:space="0"/>
              <w:bottom w:val="single" w:color="000000" w:sz="4" w:space="0"/>
              <w:right w:val="single" w:color="000000" w:sz="4" w:space="0"/>
            </w:tcBorders>
            <w:shd w:val="clear" w:color="auto" w:fill="auto"/>
            <w:vAlign w:val="center"/>
          </w:tcPr>
          <w:p>
            <w:pPr>
              <w:pStyle w:val="8"/>
              <w:spacing w:after="0"/>
              <w:ind w:left="0" w:leftChars="0" w:firstLine="0" w:firstLineChars="0"/>
              <w:rPr>
                <w:rFonts w:ascii="Times New Roman" w:hAnsi="Times New Roman" w:eastAsia="仿宋" w:cs="仿宋"/>
                <w:sz w:val="30"/>
                <w:szCs w:val="30"/>
              </w:rPr>
            </w:pPr>
          </w:p>
        </w:tc>
        <w:tc>
          <w:tcPr>
            <w:tcW w:w="107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after="0"/>
              <w:ind w:left="0" w:leftChars="0" w:firstLine="0" w:firstLineChars="0"/>
              <w:jc w:val="center"/>
              <w:rPr>
                <w:rFonts w:ascii="Times New Roman" w:hAnsi="Times New Roman" w:eastAsia="仿宋" w:cs="仿宋"/>
                <w:sz w:val="30"/>
                <w:szCs w:val="30"/>
              </w:rPr>
            </w:pPr>
            <w:r>
              <w:rPr>
                <w:rFonts w:hint="eastAsia" w:ascii="Times New Roman" w:hAnsi="Times New Roman" w:eastAsia="仿宋" w:cs="仿宋"/>
                <w:sz w:val="30"/>
                <w:szCs w:val="30"/>
              </w:rPr>
              <w:t>小计</w:t>
            </w:r>
          </w:p>
        </w:tc>
        <w:tc>
          <w:tcPr>
            <w:tcW w:w="140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after="0"/>
              <w:ind w:left="0" w:leftChars="0" w:firstLine="0" w:firstLineChars="0"/>
              <w:jc w:val="center"/>
              <w:rPr>
                <w:rFonts w:ascii="Times New Roman" w:hAnsi="Times New Roman" w:eastAsia="仿宋" w:cs="仿宋"/>
                <w:sz w:val="30"/>
                <w:szCs w:val="30"/>
              </w:rPr>
            </w:pPr>
            <w:r>
              <w:rPr>
                <w:rFonts w:hint="eastAsia" w:ascii="Times New Roman" w:hAnsi="Times New Roman" w:eastAsia="仿宋" w:cs="仿宋"/>
                <w:sz w:val="30"/>
                <w:szCs w:val="30"/>
              </w:rPr>
              <w:t>药品</w:t>
            </w:r>
          </w:p>
          <w:p>
            <w:pPr>
              <w:pStyle w:val="8"/>
              <w:spacing w:after="0"/>
              <w:ind w:left="0" w:leftChars="0" w:firstLine="0" w:firstLineChars="0"/>
              <w:jc w:val="center"/>
              <w:rPr>
                <w:rFonts w:ascii="Times New Roman" w:hAnsi="Times New Roman" w:eastAsia="仿宋" w:cs="仿宋"/>
                <w:sz w:val="30"/>
                <w:szCs w:val="30"/>
              </w:rPr>
            </w:pPr>
            <w:r>
              <w:rPr>
                <w:rFonts w:hint="eastAsia" w:ascii="Times New Roman" w:hAnsi="Times New Roman" w:eastAsia="仿宋" w:cs="仿宋"/>
                <w:sz w:val="30"/>
                <w:szCs w:val="30"/>
              </w:rPr>
              <w:t>（西药和中成药）</w:t>
            </w:r>
          </w:p>
        </w:tc>
        <w:tc>
          <w:tcPr>
            <w:tcW w:w="11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after="0"/>
              <w:ind w:left="0" w:leftChars="0" w:firstLine="0" w:firstLineChars="0"/>
              <w:jc w:val="center"/>
              <w:rPr>
                <w:rFonts w:ascii="Times New Roman" w:hAnsi="Times New Roman" w:eastAsia="仿宋" w:cs="仿宋"/>
                <w:sz w:val="30"/>
                <w:szCs w:val="30"/>
              </w:rPr>
            </w:pPr>
            <w:r>
              <w:rPr>
                <w:rFonts w:hint="eastAsia" w:ascii="Times New Roman" w:hAnsi="Times New Roman" w:eastAsia="仿宋" w:cs="仿宋"/>
                <w:sz w:val="30"/>
                <w:szCs w:val="30"/>
              </w:rPr>
              <w:t>医疗服务</w:t>
            </w:r>
          </w:p>
        </w:tc>
      </w:tr>
      <w:tr>
        <w:tblPrEx>
          <w:tblCellMar>
            <w:top w:w="0" w:type="dxa"/>
            <w:left w:w="108" w:type="dxa"/>
            <w:bottom w:w="0" w:type="dxa"/>
            <w:right w:w="108" w:type="dxa"/>
          </w:tblCellMar>
        </w:tblPrEx>
        <w:trPr>
          <w:trHeight w:val="20" w:hRule="atLeast"/>
        </w:trPr>
        <w:tc>
          <w:tcPr>
            <w:tcW w:w="1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spacing w:after="0"/>
              <w:ind w:left="0" w:leftChars="0" w:firstLine="0" w:firstLineChars="0"/>
              <w:jc w:val="center"/>
              <w:rPr>
                <w:rFonts w:ascii="Times New Roman" w:hAnsi="Times New Roman" w:eastAsia="仿宋" w:cs="仿宋"/>
                <w:sz w:val="30"/>
                <w:szCs w:val="30"/>
              </w:rPr>
            </w:pPr>
            <w:r>
              <w:rPr>
                <w:rFonts w:hint="eastAsia" w:ascii="Times New Roman" w:hAnsi="Times New Roman" w:eastAsia="仿宋" w:cs="仿宋"/>
                <w:sz w:val="30"/>
                <w:szCs w:val="30"/>
              </w:rPr>
              <w:t>三级医疗机构</w:t>
            </w:r>
          </w:p>
        </w:tc>
        <w:tc>
          <w:tcPr>
            <w:tcW w:w="10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spacing w:after="0"/>
              <w:ind w:left="0" w:leftChars="0" w:firstLine="0" w:firstLineChars="0"/>
              <w:jc w:val="center"/>
              <w:rPr>
                <w:rFonts w:ascii="Times New Roman" w:hAnsi="Times New Roman" w:eastAsia="仿宋" w:cs="仿宋"/>
                <w:sz w:val="30"/>
                <w:szCs w:val="30"/>
              </w:rPr>
            </w:pPr>
            <w:r>
              <w:rPr>
                <w:rFonts w:ascii="Times New Roman" w:hAnsi="Times New Roman"/>
                <w:color w:val="000000"/>
                <w:sz w:val="30"/>
                <w:szCs w:val="30"/>
              </w:rPr>
              <w:t>100.87</w:t>
            </w:r>
          </w:p>
        </w:tc>
        <w:tc>
          <w:tcPr>
            <w:tcW w:w="1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spacing w:after="0"/>
              <w:ind w:left="0" w:leftChars="0" w:firstLine="0" w:firstLineChars="0"/>
              <w:jc w:val="center"/>
              <w:rPr>
                <w:rFonts w:ascii="Times New Roman" w:hAnsi="Times New Roman" w:eastAsia="仿宋" w:cs="仿宋"/>
                <w:sz w:val="30"/>
                <w:szCs w:val="30"/>
              </w:rPr>
            </w:pPr>
            <w:r>
              <w:rPr>
                <w:rFonts w:ascii="Times New Roman" w:hAnsi="Times New Roman"/>
                <w:color w:val="000000"/>
                <w:sz w:val="30"/>
                <w:szCs w:val="30"/>
              </w:rPr>
              <w:t>53.58</w:t>
            </w:r>
          </w:p>
        </w:tc>
        <w:tc>
          <w:tcPr>
            <w:tcW w:w="11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spacing w:after="0"/>
              <w:ind w:left="0" w:leftChars="0" w:firstLine="0" w:firstLineChars="0"/>
              <w:jc w:val="center"/>
              <w:rPr>
                <w:rFonts w:ascii="Times New Roman" w:hAnsi="Times New Roman" w:eastAsia="仿宋" w:cs="仿宋"/>
                <w:sz w:val="30"/>
                <w:szCs w:val="30"/>
              </w:rPr>
            </w:pPr>
            <w:r>
              <w:rPr>
                <w:rFonts w:ascii="Times New Roman" w:hAnsi="Times New Roman"/>
                <w:color w:val="000000"/>
                <w:sz w:val="30"/>
                <w:szCs w:val="30"/>
              </w:rPr>
              <w:t>47.28</w:t>
            </w:r>
          </w:p>
        </w:tc>
      </w:tr>
      <w:tr>
        <w:tblPrEx>
          <w:tblCellMar>
            <w:top w:w="0" w:type="dxa"/>
            <w:left w:w="108" w:type="dxa"/>
            <w:bottom w:w="0" w:type="dxa"/>
            <w:right w:w="108" w:type="dxa"/>
          </w:tblCellMar>
        </w:tblPrEx>
        <w:trPr>
          <w:trHeight w:val="20" w:hRule="atLeast"/>
        </w:trPr>
        <w:tc>
          <w:tcPr>
            <w:tcW w:w="1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spacing w:after="0"/>
              <w:ind w:left="0" w:leftChars="0" w:firstLine="0" w:firstLineChars="0"/>
              <w:jc w:val="center"/>
              <w:rPr>
                <w:rFonts w:ascii="Times New Roman" w:hAnsi="Times New Roman" w:eastAsia="仿宋" w:cs="仿宋"/>
                <w:sz w:val="30"/>
                <w:szCs w:val="30"/>
              </w:rPr>
            </w:pPr>
            <w:r>
              <w:rPr>
                <w:rFonts w:hint="eastAsia" w:ascii="Times New Roman" w:hAnsi="Times New Roman" w:eastAsia="仿宋" w:cs="仿宋"/>
                <w:sz w:val="30"/>
                <w:szCs w:val="30"/>
              </w:rPr>
              <w:t>中医医疗机构</w:t>
            </w:r>
          </w:p>
        </w:tc>
        <w:tc>
          <w:tcPr>
            <w:tcW w:w="10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spacing w:after="0"/>
              <w:ind w:left="0" w:leftChars="0" w:firstLine="0" w:firstLineChars="0"/>
              <w:jc w:val="center"/>
              <w:rPr>
                <w:rFonts w:ascii="Times New Roman" w:hAnsi="Times New Roman" w:eastAsia="仿宋" w:cs="仿宋"/>
                <w:sz w:val="30"/>
                <w:szCs w:val="30"/>
              </w:rPr>
            </w:pPr>
            <w:r>
              <w:rPr>
                <w:rFonts w:ascii="Times New Roman" w:hAnsi="Times New Roman"/>
                <w:color w:val="000000"/>
                <w:sz w:val="30"/>
                <w:szCs w:val="30"/>
              </w:rPr>
              <w:t>34.67</w:t>
            </w:r>
          </w:p>
        </w:tc>
        <w:tc>
          <w:tcPr>
            <w:tcW w:w="1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spacing w:after="0"/>
              <w:ind w:left="0" w:leftChars="0" w:firstLine="0" w:firstLineChars="0"/>
              <w:jc w:val="center"/>
              <w:rPr>
                <w:rFonts w:ascii="Times New Roman" w:hAnsi="Times New Roman" w:eastAsia="仿宋" w:cs="仿宋"/>
                <w:sz w:val="30"/>
                <w:szCs w:val="30"/>
              </w:rPr>
            </w:pPr>
            <w:r>
              <w:rPr>
                <w:rFonts w:ascii="Times New Roman" w:hAnsi="Times New Roman"/>
                <w:color w:val="000000"/>
                <w:sz w:val="30"/>
                <w:szCs w:val="30"/>
              </w:rPr>
              <w:t>13.32</w:t>
            </w:r>
          </w:p>
        </w:tc>
        <w:tc>
          <w:tcPr>
            <w:tcW w:w="11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spacing w:after="0"/>
              <w:ind w:left="0" w:leftChars="0" w:firstLine="0" w:firstLineChars="0"/>
              <w:jc w:val="center"/>
              <w:rPr>
                <w:rFonts w:ascii="Times New Roman" w:hAnsi="Times New Roman" w:eastAsia="仿宋" w:cs="仿宋"/>
                <w:sz w:val="30"/>
                <w:szCs w:val="30"/>
              </w:rPr>
            </w:pPr>
            <w:r>
              <w:rPr>
                <w:rFonts w:ascii="Times New Roman" w:hAnsi="Times New Roman"/>
                <w:color w:val="000000"/>
                <w:sz w:val="30"/>
                <w:szCs w:val="30"/>
              </w:rPr>
              <w:t>21.36</w:t>
            </w:r>
          </w:p>
        </w:tc>
      </w:tr>
      <w:tr>
        <w:tblPrEx>
          <w:tblCellMar>
            <w:top w:w="0" w:type="dxa"/>
            <w:left w:w="108" w:type="dxa"/>
            <w:bottom w:w="0" w:type="dxa"/>
            <w:right w:w="108" w:type="dxa"/>
          </w:tblCellMar>
        </w:tblPrEx>
        <w:trPr>
          <w:trHeight w:val="20" w:hRule="atLeast"/>
        </w:trPr>
        <w:tc>
          <w:tcPr>
            <w:tcW w:w="1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spacing w:after="0"/>
              <w:ind w:left="0" w:leftChars="0" w:firstLine="0" w:firstLineChars="0"/>
              <w:jc w:val="center"/>
              <w:rPr>
                <w:rFonts w:ascii="Times New Roman" w:hAnsi="Times New Roman" w:eastAsia="仿宋" w:cs="仿宋"/>
                <w:sz w:val="30"/>
                <w:szCs w:val="30"/>
              </w:rPr>
            </w:pPr>
            <w:r>
              <w:rPr>
                <w:rFonts w:hint="eastAsia" w:ascii="Times New Roman" w:hAnsi="Times New Roman" w:eastAsia="仿宋" w:cs="仿宋"/>
                <w:sz w:val="30"/>
                <w:szCs w:val="30"/>
              </w:rPr>
              <w:t>二级医疗机构</w:t>
            </w:r>
          </w:p>
        </w:tc>
        <w:tc>
          <w:tcPr>
            <w:tcW w:w="10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spacing w:after="0"/>
              <w:ind w:left="0" w:leftChars="0" w:firstLine="0" w:firstLineChars="0"/>
              <w:jc w:val="center"/>
              <w:rPr>
                <w:rFonts w:ascii="Times New Roman" w:hAnsi="Times New Roman" w:eastAsia="仿宋" w:cs="仿宋"/>
                <w:sz w:val="30"/>
                <w:szCs w:val="30"/>
              </w:rPr>
            </w:pPr>
            <w:r>
              <w:rPr>
                <w:rFonts w:ascii="Times New Roman" w:hAnsi="Times New Roman"/>
                <w:color w:val="000000"/>
                <w:sz w:val="30"/>
                <w:szCs w:val="30"/>
              </w:rPr>
              <w:t>20.79</w:t>
            </w:r>
          </w:p>
        </w:tc>
        <w:tc>
          <w:tcPr>
            <w:tcW w:w="1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spacing w:after="0"/>
              <w:ind w:left="0" w:leftChars="0" w:firstLine="0" w:firstLineChars="0"/>
              <w:jc w:val="center"/>
              <w:rPr>
                <w:rFonts w:ascii="Times New Roman" w:hAnsi="Times New Roman" w:eastAsia="仿宋" w:cs="仿宋"/>
                <w:sz w:val="30"/>
                <w:szCs w:val="30"/>
              </w:rPr>
            </w:pPr>
            <w:r>
              <w:rPr>
                <w:rFonts w:ascii="Times New Roman" w:hAnsi="Times New Roman"/>
                <w:color w:val="000000"/>
                <w:sz w:val="30"/>
                <w:szCs w:val="30"/>
              </w:rPr>
              <w:t>12.32</w:t>
            </w:r>
          </w:p>
        </w:tc>
        <w:tc>
          <w:tcPr>
            <w:tcW w:w="11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spacing w:after="0"/>
              <w:ind w:left="0" w:leftChars="0" w:firstLine="0" w:firstLineChars="0"/>
              <w:jc w:val="center"/>
              <w:rPr>
                <w:rFonts w:ascii="Times New Roman" w:hAnsi="Times New Roman" w:eastAsia="仿宋" w:cs="仿宋"/>
                <w:sz w:val="30"/>
                <w:szCs w:val="30"/>
              </w:rPr>
            </w:pPr>
            <w:r>
              <w:rPr>
                <w:rFonts w:ascii="Times New Roman" w:hAnsi="Times New Roman"/>
                <w:color w:val="000000"/>
                <w:sz w:val="30"/>
                <w:szCs w:val="30"/>
              </w:rPr>
              <w:t>8.47</w:t>
            </w:r>
          </w:p>
        </w:tc>
      </w:tr>
      <w:tr>
        <w:tblPrEx>
          <w:tblCellMar>
            <w:top w:w="0" w:type="dxa"/>
            <w:left w:w="108" w:type="dxa"/>
            <w:bottom w:w="0" w:type="dxa"/>
            <w:right w:w="108" w:type="dxa"/>
          </w:tblCellMar>
        </w:tblPrEx>
        <w:trPr>
          <w:trHeight w:val="20" w:hRule="atLeast"/>
        </w:trPr>
        <w:tc>
          <w:tcPr>
            <w:tcW w:w="1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spacing w:after="0"/>
              <w:ind w:left="0" w:leftChars="0" w:firstLine="0" w:firstLineChars="0"/>
              <w:jc w:val="center"/>
              <w:rPr>
                <w:rFonts w:ascii="Times New Roman" w:hAnsi="Times New Roman" w:eastAsia="仿宋" w:cs="仿宋"/>
                <w:sz w:val="30"/>
                <w:szCs w:val="30"/>
              </w:rPr>
            </w:pPr>
            <w:r>
              <w:rPr>
                <w:rFonts w:hint="eastAsia" w:ascii="Times New Roman" w:hAnsi="Times New Roman" w:eastAsia="仿宋" w:cs="仿宋"/>
                <w:sz w:val="30"/>
                <w:szCs w:val="30"/>
              </w:rPr>
              <w:t>家医基层机构</w:t>
            </w:r>
          </w:p>
        </w:tc>
        <w:tc>
          <w:tcPr>
            <w:tcW w:w="10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spacing w:after="0"/>
              <w:ind w:left="0" w:leftChars="0" w:firstLine="0" w:firstLineChars="0"/>
              <w:jc w:val="center"/>
              <w:rPr>
                <w:rFonts w:ascii="Times New Roman" w:hAnsi="Times New Roman" w:eastAsia="仿宋" w:cs="仿宋"/>
                <w:sz w:val="30"/>
                <w:szCs w:val="30"/>
              </w:rPr>
            </w:pPr>
            <w:r>
              <w:rPr>
                <w:rFonts w:ascii="Times New Roman" w:hAnsi="Times New Roman"/>
                <w:color w:val="000000"/>
                <w:sz w:val="30"/>
                <w:szCs w:val="30"/>
              </w:rPr>
              <w:t>68.92</w:t>
            </w:r>
          </w:p>
        </w:tc>
        <w:tc>
          <w:tcPr>
            <w:tcW w:w="1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spacing w:after="0"/>
              <w:ind w:left="0" w:leftChars="0" w:firstLine="0" w:firstLineChars="0"/>
              <w:jc w:val="center"/>
              <w:rPr>
                <w:rFonts w:ascii="Times New Roman" w:hAnsi="Times New Roman" w:eastAsia="仿宋" w:cs="仿宋"/>
                <w:sz w:val="30"/>
                <w:szCs w:val="30"/>
              </w:rPr>
            </w:pPr>
            <w:r>
              <w:rPr>
                <w:rFonts w:ascii="Times New Roman" w:hAnsi="Times New Roman"/>
                <w:color w:val="000000"/>
                <w:sz w:val="30"/>
                <w:szCs w:val="30"/>
              </w:rPr>
              <w:t>55.53</w:t>
            </w:r>
          </w:p>
        </w:tc>
        <w:tc>
          <w:tcPr>
            <w:tcW w:w="11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spacing w:after="0"/>
              <w:ind w:left="0" w:leftChars="0" w:firstLine="0" w:firstLineChars="0"/>
              <w:jc w:val="center"/>
              <w:rPr>
                <w:rFonts w:ascii="Times New Roman" w:hAnsi="Times New Roman" w:eastAsia="仿宋" w:cs="仿宋"/>
                <w:sz w:val="30"/>
                <w:szCs w:val="30"/>
              </w:rPr>
            </w:pPr>
            <w:r>
              <w:rPr>
                <w:rFonts w:ascii="Times New Roman" w:hAnsi="Times New Roman"/>
                <w:color w:val="000000"/>
                <w:sz w:val="30"/>
                <w:szCs w:val="30"/>
              </w:rPr>
              <w:t>13.39</w:t>
            </w:r>
          </w:p>
        </w:tc>
      </w:tr>
      <w:tr>
        <w:tblPrEx>
          <w:tblCellMar>
            <w:top w:w="0" w:type="dxa"/>
            <w:left w:w="108" w:type="dxa"/>
            <w:bottom w:w="0" w:type="dxa"/>
            <w:right w:w="108" w:type="dxa"/>
          </w:tblCellMar>
        </w:tblPrEx>
        <w:trPr>
          <w:trHeight w:val="20" w:hRule="atLeast"/>
        </w:trPr>
        <w:tc>
          <w:tcPr>
            <w:tcW w:w="1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spacing w:after="0"/>
              <w:ind w:left="0" w:leftChars="0" w:firstLine="0" w:firstLineChars="0"/>
              <w:jc w:val="center"/>
              <w:rPr>
                <w:rFonts w:ascii="Times New Roman" w:hAnsi="Times New Roman" w:eastAsia="仿宋" w:cs="仿宋"/>
                <w:sz w:val="30"/>
                <w:szCs w:val="30"/>
              </w:rPr>
            </w:pPr>
            <w:r>
              <w:rPr>
                <w:rFonts w:hint="eastAsia" w:ascii="Times New Roman" w:hAnsi="Times New Roman" w:eastAsia="仿宋" w:cs="仿宋"/>
                <w:sz w:val="30"/>
                <w:szCs w:val="30"/>
              </w:rPr>
              <w:t>其他基层机构</w:t>
            </w:r>
          </w:p>
        </w:tc>
        <w:tc>
          <w:tcPr>
            <w:tcW w:w="10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spacing w:after="0"/>
              <w:ind w:left="0" w:leftChars="0" w:firstLine="0" w:firstLineChars="0"/>
              <w:jc w:val="center"/>
              <w:rPr>
                <w:rFonts w:ascii="Times New Roman" w:hAnsi="Times New Roman" w:eastAsia="仿宋" w:cs="仿宋"/>
                <w:sz w:val="30"/>
                <w:szCs w:val="30"/>
              </w:rPr>
            </w:pPr>
            <w:r>
              <w:rPr>
                <w:rFonts w:ascii="Times New Roman" w:hAnsi="Times New Roman"/>
                <w:color w:val="000000"/>
                <w:sz w:val="30"/>
                <w:szCs w:val="30"/>
              </w:rPr>
              <w:t>75.88</w:t>
            </w:r>
          </w:p>
        </w:tc>
        <w:tc>
          <w:tcPr>
            <w:tcW w:w="1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spacing w:after="0"/>
              <w:ind w:left="0" w:leftChars="0" w:firstLine="0" w:firstLineChars="0"/>
              <w:jc w:val="center"/>
              <w:rPr>
                <w:rFonts w:ascii="Times New Roman" w:hAnsi="Times New Roman" w:eastAsia="仿宋" w:cs="仿宋"/>
                <w:sz w:val="30"/>
                <w:szCs w:val="30"/>
              </w:rPr>
            </w:pPr>
            <w:r>
              <w:rPr>
                <w:rFonts w:ascii="Times New Roman" w:hAnsi="Times New Roman"/>
                <w:color w:val="000000"/>
                <w:sz w:val="30"/>
                <w:szCs w:val="30"/>
              </w:rPr>
              <w:t>41.37</w:t>
            </w:r>
          </w:p>
        </w:tc>
        <w:tc>
          <w:tcPr>
            <w:tcW w:w="11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spacing w:after="0"/>
              <w:ind w:left="0" w:leftChars="0" w:firstLine="0" w:firstLineChars="0"/>
              <w:jc w:val="center"/>
              <w:rPr>
                <w:rFonts w:ascii="Times New Roman" w:hAnsi="Times New Roman" w:eastAsia="仿宋" w:cs="仿宋"/>
                <w:sz w:val="30"/>
                <w:szCs w:val="30"/>
              </w:rPr>
            </w:pPr>
            <w:r>
              <w:rPr>
                <w:rFonts w:ascii="Times New Roman" w:hAnsi="Times New Roman"/>
                <w:color w:val="000000"/>
                <w:sz w:val="30"/>
                <w:szCs w:val="30"/>
              </w:rPr>
              <w:t>34.51</w:t>
            </w:r>
          </w:p>
        </w:tc>
      </w:tr>
      <w:tr>
        <w:tblPrEx>
          <w:tblCellMar>
            <w:top w:w="0" w:type="dxa"/>
            <w:left w:w="108" w:type="dxa"/>
            <w:bottom w:w="0" w:type="dxa"/>
            <w:right w:w="108" w:type="dxa"/>
          </w:tblCellMar>
        </w:tblPrEx>
        <w:trPr>
          <w:trHeight w:val="20" w:hRule="atLeast"/>
        </w:trPr>
        <w:tc>
          <w:tcPr>
            <w:tcW w:w="1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spacing w:after="0"/>
              <w:ind w:left="0" w:leftChars="0" w:firstLine="0" w:firstLineChars="0"/>
              <w:jc w:val="center"/>
              <w:rPr>
                <w:rFonts w:ascii="Times New Roman" w:hAnsi="Times New Roman" w:eastAsia="仿宋" w:cs="仿宋"/>
                <w:sz w:val="30"/>
                <w:szCs w:val="30"/>
              </w:rPr>
            </w:pPr>
            <w:r>
              <w:rPr>
                <w:rFonts w:hint="eastAsia" w:ascii="Times New Roman" w:hAnsi="Times New Roman" w:eastAsia="仿宋" w:cs="仿宋"/>
                <w:sz w:val="30"/>
                <w:szCs w:val="30"/>
              </w:rPr>
              <w:t>暂未分配额度</w:t>
            </w:r>
          </w:p>
        </w:tc>
        <w:tc>
          <w:tcPr>
            <w:tcW w:w="10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spacing w:after="0"/>
              <w:ind w:left="0" w:leftChars="0" w:firstLine="0" w:firstLineChars="0"/>
              <w:jc w:val="center"/>
              <w:rPr>
                <w:rFonts w:ascii="Times New Roman" w:hAnsi="Times New Roman" w:eastAsia="仿宋" w:cs="仿宋"/>
                <w:sz w:val="30"/>
                <w:szCs w:val="30"/>
              </w:rPr>
            </w:pPr>
            <w:r>
              <w:rPr>
                <w:rFonts w:ascii="Times New Roman" w:hAnsi="Times New Roman"/>
                <w:color w:val="000000"/>
                <w:sz w:val="30"/>
                <w:szCs w:val="30"/>
              </w:rPr>
              <w:t>9.34</w:t>
            </w:r>
          </w:p>
        </w:tc>
        <w:tc>
          <w:tcPr>
            <w:tcW w:w="1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spacing w:after="0"/>
              <w:ind w:left="0" w:leftChars="0" w:firstLine="0" w:firstLineChars="0"/>
              <w:jc w:val="center"/>
              <w:rPr>
                <w:rFonts w:ascii="Times New Roman" w:hAnsi="Times New Roman" w:eastAsia="仿宋" w:cs="仿宋"/>
                <w:sz w:val="30"/>
                <w:szCs w:val="30"/>
              </w:rPr>
            </w:pPr>
            <w:r>
              <w:rPr>
                <w:rFonts w:ascii="Times New Roman" w:hAnsi="Times New Roman"/>
                <w:color w:val="000000"/>
                <w:sz w:val="30"/>
                <w:szCs w:val="30"/>
              </w:rPr>
              <w:t>9.34</w:t>
            </w:r>
          </w:p>
        </w:tc>
        <w:tc>
          <w:tcPr>
            <w:tcW w:w="11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spacing w:after="0"/>
              <w:ind w:left="0" w:leftChars="0" w:firstLine="0" w:firstLineChars="0"/>
              <w:jc w:val="center"/>
              <w:rPr>
                <w:rFonts w:ascii="Times New Roman" w:hAnsi="Times New Roman" w:eastAsia="仿宋" w:cs="仿宋"/>
                <w:sz w:val="30"/>
                <w:szCs w:val="30"/>
              </w:rPr>
            </w:pPr>
            <w:r>
              <w:rPr>
                <w:rFonts w:hint="eastAsia" w:ascii="Times New Roman" w:hAnsi="Times New Roman" w:eastAsia="仿宋"/>
                <w:color w:val="000000"/>
                <w:sz w:val="30"/>
                <w:szCs w:val="30"/>
              </w:rPr>
              <w:t>—</w:t>
            </w:r>
          </w:p>
        </w:tc>
      </w:tr>
      <w:tr>
        <w:tblPrEx>
          <w:tblCellMar>
            <w:top w:w="0" w:type="dxa"/>
            <w:left w:w="108" w:type="dxa"/>
            <w:bottom w:w="0" w:type="dxa"/>
            <w:right w:w="108" w:type="dxa"/>
          </w:tblCellMar>
        </w:tblPrEx>
        <w:trPr>
          <w:trHeight w:val="20" w:hRule="atLeast"/>
        </w:trPr>
        <w:tc>
          <w:tcPr>
            <w:tcW w:w="1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spacing w:after="0"/>
              <w:ind w:left="0" w:leftChars="0" w:firstLine="600"/>
              <w:rPr>
                <w:rFonts w:ascii="Times New Roman" w:hAnsi="Times New Roman" w:eastAsia="仿宋" w:cs="仿宋"/>
                <w:sz w:val="30"/>
                <w:szCs w:val="30"/>
              </w:rPr>
            </w:pPr>
            <w:r>
              <w:rPr>
                <w:rFonts w:hint="eastAsia" w:ascii="Times New Roman" w:hAnsi="Times New Roman" w:eastAsia="仿宋" w:cs="仿宋"/>
                <w:sz w:val="30"/>
                <w:szCs w:val="30"/>
              </w:rPr>
              <w:t>合计</w:t>
            </w:r>
          </w:p>
        </w:tc>
        <w:tc>
          <w:tcPr>
            <w:tcW w:w="10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spacing w:after="0"/>
              <w:ind w:left="0" w:leftChars="0" w:firstLine="0" w:firstLineChars="0"/>
              <w:jc w:val="center"/>
              <w:rPr>
                <w:rFonts w:ascii="Times New Roman" w:hAnsi="Times New Roman" w:eastAsia="仿宋" w:cs="仿宋"/>
                <w:sz w:val="30"/>
                <w:szCs w:val="30"/>
              </w:rPr>
            </w:pPr>
            <w:r>
              <w:rPr>
                <w:rFonts w:ascii="Times New Roman" w:hAnsi="Times New Roman"/>
                <w:color w:val="000000"/>
                <w:sz w:val="30"/>
                <w:szCs w:val="30"/>
              </w:rPr>
              <w:t>310.47</w:t>
            </w:r>
          </w:p>
        </w:tc>
        <w:tc>
          <w:tcPr>
            <w:tcW w:w="1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spacing w:after="0"/>
              <w:ind w:left="0" w:leftChars="0" w:firstLine="0" w:firstLineChars="0"/>
              <w:jc w:val="center"/>
              <w:rPr>
                <w:rFonts w:ascii="Times New Roman" w:hAnsi="Times New Roman" w:eastAsia="仿宋" w:cs="仿宋"/>
                <w:sz w:val="30"/>
                <w:szCs w:val="30"/>
              </w:rPr>
            </w:pPr>
            <w:r>
              <w:rPr>
                <w:rFonts w:ascii="Times New Roman" w:hAnsi="Times New Roman"/>
                <w:color w:val="000000"/>
                <w:sz w:val="30"/>
                <w:szCs w:val="30"/>
              </w:rPr>
              <w:t>185.46</w:t>
            </w:r>
          </w:p>
        </w:tc>
        <w:tc>
          <w:tcPr>
            <w:tcW w:w="11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spacing w:after="0"/>
              <w:ind w:left="0" w:leftChars="0" w:firstLine="0" w:firstLineChars="0"/>
              <w:jc w:val="center"/>
              <w:rPr>
                <w:rFonts w:ascii="Times New Roman" w:hAnsi="Times New Roman" w:eastAsia="仿宋" w:cs="仿宋"/>
                <w:sz w:val="30"/>
                <w:szCs w:val="30"/>
              </w:rPr>
            </w:pPr>
            <w:r>
              <w:rPr>
                <w:rFonts w:ascii="Times New Roman" w:hAnsi="Times New Roman"/>
                <w:color w:val="000000"/>
                <w:sz w:val="30"/>
                <w:szCs w:val="30"/>
              </w:rPr>
              <w:t>125.01</w:t>
            </w:r>
          </w:p>
        </w:tc>
      </w:tr>
    </w:tbl>
    <w:p>
      <w:pPr>
        <w:spacing w:line="578" w:lineRule="exact"/>
        <w:ind w:firstLine="692" w:firstLineChars="200"/>
        <w:jc w:val="both"/>
        <w:rPr>
          <w:rFonts w:ascii="Times New Roman" w:hAnsi="Times New Roman" w:eastAsia="黑体" w:cs="黑体"/>
          <w:spacing w:val="13"/>
          <w:sz w:val="32"/>
          <w:szCs w:val="32"/>
        </w:rPr>
      </w:pPr>
    </w:p>
    <w:p>
      <w:pPr>
        <w:spacing w:line="578" w:lineRule="exact"/>
        <w:ind w:firstLine="692" w:firstLineChars="200"/>
        <w:jc w:val="both"/>
        <w:rPr>
          <w:rFonts w:ascii="Times New Roman" w:hAnsi="Times New Roman" w:eastAsia="黑体" w:cs="黑体"/>
          <w:spacing w:val="13"/>
          <w:sz w:val="32"/>
          <w:szCs w:val="32"/>
        </w:rPr>
      </w:pPr>
      <w:r>
        <w:rPr>
          <w:rFonts w:hint="eastAsia" w:ascii="Times New Roman" w:hAnsi="Times New Roman" w:eastAsia="黑体" w:cs="黑体"/>
          <w:spacing w:val="13"/>
          <w:sz w:val="32"/>
          <w:szCs w:val="32"/>
        </w:rPr>
        <w:t>四、总额预算分配和调整</w:t>
      </w:r>
    </w:p>
    <w:p>
      <w:pPr>
        <w:spacing w:line="578" w:lineRule="exact"/>
        <w:ind w:firstLine="640" w:firstLineChars="200"/>
        <w:jc w:val="both"/>
        <w:rPr>
          <w:rFonts w:ascii="Times New Roman" w:hAnsi="Times New Roman" w:eastAsia="仿宋_GB2312" w:cs="仿宋_GB2312"/>
          <w:sz w:val="32"/>
          <w:szCs w:val="32"/>
        </w:rPr>
      </w:pPr>
      <w:r>
        <w:rPr>
          <w:rFonts w:hint="eastAsia" w:ascii="Times New Roman" w:hAnsi="Times New Roman" w:eastAsia="仿宋_GB2312" w:cs="Times New Roman"/>
          <w:sz w:val="32"/>
          <w:szCs w:val="32"/>
        </w:rPr>
        <w:t>按照</w:t>
      </w:r>
      <w:r>
        <w:rPr>
          <w:rFonts w:ascii="Times New Roman" w:hAnsi="Times New Roman" w:eastAsia="仿宋_GB2312" w:cs="Times New Roman"/>
          <w:sz w:val="32"/>
          <w:szCs w:val="32"/>
        </w:rPr>
        <w:t>《区域总额预算</w:t>
      </w:r>
      <w:r>
        <w:rPr>
          <w:rFonts w:hint="eastAsia" w:ascii="Times New Roman" w:hAnsi="Times New Roman" w:eastAsia="仿宋_GB2312" w:cs="Times New Roman"/>
          <w:sz w:val="32"/>
          <w:szCs w:val="32"/>
        </w:rPr>
        <w:t>管理</w:t>
      </w:r>
      <w:r>
        <w:rPr>
          <w:rFonts w:ascii="Times New Roman" w:hAnsi="Times New Roman" w:eastAsia="仿宋_GB2312" w:cs="Times New Roman"/>
          <w:sz w:val="32"/>
          <w:szCs w:val="32"/>
        </w:rPr>
        <w:t>办法》</w:t>
      </w:r>
      <w:r>
        <w:rPr>
          <w:rFonts w:hint="eastAsia" w:ascii="Times New Roman" w:hAnsi="Times New Roman" w:eastAsia="仿宋_GB2312" w:cs="Times New Roman"/>
          <w:sz w:val="32"/>
          <w:szCs w:val="32"/>
        </w:rPr>
        <w:t>规定，2022医保协议年度各类别医保总额预算额度，将根据</w:t>
      </w:r>
      <w:r>
        <w:rPr>
          <w:rFonts w:hint="eastAsia" w:ascii="Times New Roman" w:hAnsi="Times New Roman" w:eastAsia="仿宋_GB2312" w:cs="仿宋_GB2312"/>
          <w:sz w:val="32"/>
          <w:szCs w:val="32"/>
        </w:rPr>
        <w:t>各定点医疗机构为参保人员提供服务情况，按月按不同付费方式分配至各定点医疗机构，并实行年终清算。定点零售药店凭定点医疗机构外流处方提供的药品调剂服务，纳入开具处方定点医疗机构所在机构类别的门诊医保总额预算额度分配范围。实际执行过程中，因医疗保障制度改革、医药卫生体制改革、</w:t>
      </w:r>
      <w:r>
        <w:rPr>
          <w:rFonts w:hint="eastAsia" w:ascii="Times New Roman" w:hAnsi="Times New Roman" w:eastAsia="仿宋_GB2312" w:cs="仿宋_GB2312"/>
          <w:bCs/>
          <w:sz w:val="32"/>
          <w:szCs w:val="32"/>
        </w:rPr>
        <w:t>影响范围较大的突发事件</w:t>
      </w:r>
      <w:r>
        <w:rPr>
          <w:rFonts w:hint="eastAsia" w:ascii="Times New Roman" w:hAnsi="Times New Roman" w:eastAsia="仿宋_GB2312" w:cs="仿宋_GB2312"/>
          <w:sz w:val="32"/>
          <w:szCs w:val="32"/>
        </w:rPr>
        <w:t>等因素，需对全市或某类别医保总额预算额度进行调整的，调整方案另行制定。</w:t>
      </w:r>
    </w:p>
    <w:p>
      <w:pPr>
        <w:pStyle w:val="2"/>
        <w:rPr>
          <w:rFonts w:hint="eastAsia" w:ascii="Times New Roman" w:hAnsi="Times New Roman"/>
          <w:lang w:eastAsia="zh-CN"/>
        </w:rPr>
      </w:pPr>
      <w:bookmarkStart w:id="0" w:name="_GoBack"/>
      <w:bookmarkEnd w:id="0"/>
    </w:p>
    <w:p/>
    <w:sectPr>
      <w:footerReference r:id="rId6" w:type="default"/>
      <w:pgSz w:w="11906" w:h="16838"/>
      <w:pgMar w:top="2098" w:right="1474" w:bottom="1984" w:left="1587" w:header="851" w:footer="992" w:gutter="0"/>
      <w:pgNumType w:fmt="numberInDash" w:start="1"/>
      <w:cols w:space="720" w:num="1"/>
      <w:rtlGutter w:val="1"/>
      <w:docGrid w:type="lines" w:linePitch="31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公文小标宋">
    <w:altName w:val="方正小标宋_GBK"/>
    <w:panose1 w:val="00000000000000000000"/>
    <w:charset w:val="86"/>
    <w:family w:val="auto"/>
    <w:pitch w:val="default"/>
    <w:sig w:usb0="00000000" w:usb1="00000000"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ind w:right="0" w:firstLine="0"/>
      <w:jc w:val="center"/>
      <w:textAlignment w:val="auto"/>
      <w:rPr>
        <w:rFonts w:ascii="宋体" w:eastAsia="宋体"/>
        <w:sz w:val="28"/>
        <w:szCs w:val="28"/>
      </w:rPr>
    </w:pPr>
    <w:r>
      <w:rPr>
        <w:sz w:val="28"/>
      </w:rPr>
      <mc:AlternateContent>
        <mc:Choice Requires="wps">
          <w:drawing>
            <wp:anchor distT="0" distB="0" distL="113665" distR="113665" simplePos="0" relativeHeight="251659264" behindDoc="0" locked="0" layoutInCell="1" allowOverlap="1">
              <wp:simplePos x="0" y="0"/>
              <wp:positionH relativeFrom="margin">
                <wp:align>outside</wp:align>
              </wp:positionH>
              <wp:positionV relativeFrom="paragraph">
                <wp:posOffset>0</wp:posOffset>
              </wp:positionV>
              <wp:extent cx="600075" cy="367030"/>
              <wp:effectExtent l="0" t="0" r="0" b="0"/>
              <wp:wrapNone/>
              <wp:docPr id="2" name="文本框 5"/>
              <wp:cNvGraphicFramePr/>
              <a:graphic xmlns:a="http://schemas.openxmlformats.org/drawingml/2006/main">
                <a:graphicData uri="http://schemas.microsoft.com/office/word/2010/wordprocessingShape">
                  <wps:wsp>
                    <wps:cNvSpPr/>
                    <wps:spPr>
                      <a:xfrm>
                        <a:off x="0" y="0"/>
                        <a:ext cx="600075" cy="367030"/>
                      </a:xfrm>
                      <a:prstGeom prst="rect">
                        <a:avLst/>
                      </a:prstGeom>
                      <a:noFill/>
                      <a:ln w="6350" cap="flat" cmpd="sng">
                        <a:noFill/>
                        <a:prstDash val="solid"/>
                        <a:round/>
                      </a:ln>
                    </wps:spPr>
                    <wps:txbx>
                      <w:txbxContent>
                        <w:p>
                          <w:pPr>
                            <w:pStyle w:val="6"/>
                            <w:ind w:right="210" w:rightChars="100"/>
                            <w:jc w:val="left"/>
                          </w:pPr>
                        </w:p>
                      </w:txbxContent>
                    </wps:txbx>
                    <wps:bodyPr vert="horz" wrap="none" lIns="0" tIns="0" rIns="0" bIns="0" anchor="t" anchorCtr="0" upright="0">
                      <a:spAutoFit/>
                    </wps:bodyPr>
                  </wps:wsp>
                </a:graphicData>
              </a:graphic>
            </wp:anchor>
          </w:drawing>
        </mc:Choice>
        <mc:Fallback>
          <w:pict>
            <v:rect id="文本框 5" o:spid="_x0000_s1026" o:spt="1" style="position:absolute;left:0pt;margin-top:0pt;height:28.9pt;width:47.25pt;mso-position-horizontal:outside;mso-position-horizontal-relative:margin;mso-wrap-style:none;z-index:251659264;mso-width-relative:page;mso-height-relative:page;" filled="f" stroked="f" coordsize="21600,21600" o:gfxdata="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oWnCo1wAAAAMBAAAPAAAAAAAAAAEAIAAAACIAAABkcnMv&#10;ZG93bnJldi54bWxQSwECFAAUAAAACACHTuJAWVyk7AQCAAD0AwAADgAAAAAAAAABACAAAAAmAQAA&#10;ZHJzL2Uyb0RvYy54bWxQSwUGAAAAAAYABgBZAQAAnAUAAAAA&#10;">
              <v:fill on="f" focussize="0,0"/>
              <v:stroke on="f" weight="0.5pt" joinstyle="round"/>
              <v:imagedata o:title=""/>
              <o:lock v:ext="edit" aspectratio="f"/>
              <v:textbox inset="0mm,0mm,0mm,0mm" style="mso-fit-shape-to-text:t;">
                <w:txbxContent>
                  <w:p>
                    <w:pPr>
                      <w:pStyle w:val="6"/>
                      <w:ind w:right="210" w:rightChars="100"/>
                      <w:jc w:val="left"/>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ind w:right="0" w:firstLine="0"/>
      <w:jc w:val="center"/>
      <w:textAlignment w:val="auto"/>
      <w:rPr>
        <w:rFonts w:ascii="宋体" w:eastAsia="宋体"/>
        <w:sz w:val="28"/>
        <w:szCs w:val="28"/>
      </w:rPr>
    </w:pPr>
    <w:r>
      <w:rPr>
        <w:sz w:val="28"/>
      </w:rPr>
      <mc:AlternateContent>
        <mc:Choice Requires="wps">
          <w:drawing>
            <wp:anchor distT="0" distB="0" distL="113665" distR="113665" simplePos="0" relativeHeight="251659264" behindDoc="0" locked="0" layoutInCell="1" allowOverlap="1">
              <wp:simplePos x="0" y="0"/>
              <wp:positionH relativeFrom="margin">
                <wp:align>outside</wp:align>
              </wp:positionH>
              <wp:positionV relativeFrom="paragraph">
                <wp:posOffset>0</wp:posOffset>
              </wp:positionV>
              <wp:extent cx="600075" cy="367030"/>
              <wp:effectExtent l="0" t="0" r="0" b="0"/>
              <wp:wrapNone/>
              <wp:docPr id="4" name="文本框 5"/>
              <wp:cNvGraphicFramePr/>
              <a:graphic xmlns:a="http://schemas.openxmlformats.org/drawingml/2006/main">
                <a:graphicData uri="http://schemas.microsoft.com/office/word/2010/wordprocessingShape">
                  <wps:wsp>
                    <wps:cNvSpPr/>
                    <wps:spPr>
                      <a:xfrm>
                        <a:off x="0" y="0"/>
                        <a:ext cx="600075" cy="367030"/>
                      </a:xfrm>
                      <a:prstGeom prst="rect">
                        <a:avLst/>
                      </a:prstGeom>
                      <a:noFill/>
                      <a:ln w="6350" cap="flat" cmpd="sng">
                        <a:noFill/>
                        <a:prstDash val="solid"/>
                        <a:round/>
                      </a:ln>
                    </wps:spPr>
                    <wps:txbx>
                      <w:txbxContent>
                        <w:p>
                          <w:pPr>
                            <w:pStyle w:val="6"/>
                            <w:ind w:right="210" w:rightChars="100"/>
                            <w:jc w:val="left"/>
                          </w:pPr>
                        </w:p>
                      </w:txbxContent>
                    </wps:txbx>
                    <wps:bodyPr vert="horz" wrap="none" lIns="0" tIns="0" rIns="0" bIns="0" anchor="t" anchorCtr="0" upright="0">
                      <a:spAutoFit/>
                    </wps:bodyPr>
                  </wps:wsp>
                </a:graphicData>
              </a:graphic>
            </wp:anchor>
          </w:drawing>
        </mc:Choice>
        <mc:Fallback>
          <w:pict>
            <v:rect id="文本框 5" o:spid="_x0000_s1026" o:spt="1" style="position:absolute;left:0pt;margin-top:0pt;height:28.9pt;width:47.25pt;mso-position-horizontal:outside;mso-position-horizontal-relative:margin;mso-wrap-style:none;z-index:251659264;mso-width-relative:page;mso-height-relative:page;" filled="f" stroked="f" coordsize="21600,21600" o:gfxdata="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oWnCo1wAAAAMBAAAPAAAAAAAAAAEAIAAAACIAAABkcnMv&#10;ZG93bnJldi54bWxQSwECFAAUAAAACACHTuJAKj+MGgQCAAD0AwAADgAAAAAAAAABACAAAAAmAQAA&#10;ZHJzL2Uyb0RvYy54bWxQSwUGAAAAAAYABgBZAQAAnAUAAAAA&#10;">
              <v:fill on="f" focussize="0,0"/>
              <v:stroke on="f" weight="0.5pt" joinstyle="round"/>
              <v:imagedata o:title=""/>
              <o:lock v:ext="edit" aspectratio="f"/>
              <v:textbox inset="0mm,0mm,0mm,0mm" style="mso-fit-shape-to-text:t;">
                <w:txbxContent>
                  <w:p>
                    <w:pPr>
                      <w:pStyle w:val="6"/>
                      <w:ind w:right="210" w:rightChars="100"/>
                      <w:jc w:val="left"/>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NhNDJjNTFhZDQ1MDg2ZjYyMGU0M2U3YTNlMjA4NWEifQ=="/>
  </w:docVars>
  <w:rsids>
    <w:rsidRoot w:val="00000000"/>
    <w:rsid w:val="2CA42531"/>
    <w:rsid w:val="56DB0F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78" w:lineRule="exact"/>
      <w:ind w:firstLine="720"/>
      <w:jc w:val="both"/>
    </w:pPr>
    <w:rPr>
      <w:rFonts w:ascii="Calibri" w:hAnsi="Calibri" w:eastAsia="宋体" w:cs="Times New Roman"/>
      <w:kern w:val="2"/>
      <w:sz w:val="21"/>
      <w:szCs w:val="22"/>
      <w:lang w:val="en-US" w:eastAsia="zh-CN" w:bidi="ar-SA"/>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spacing w:line="578" w:lineRule="exact"/>
      <w:ind w:firstLine="720"/>
      <w:jc w:val="both"/>
    </w:pPr>
    <w:rPr>
      <w:rFonts w:ascii="宋体" w:hAnsi="Times New Roman" w:eastAsia="宋体" w:cs="宋体"/>
      <w:color w:val="000000"/>
      <w:sz w:val="24"/>
      <w:szCs w:val="24"/>
      <w:lang w:val="en-US" w:eastAsia="zh-CN" w:bidi="ar-SA"/>
    </w:rPr>
  </w:style>
  <w:style w:type="paragraph" w:styleId="3">
    <w:name w:val="index 5"/>
    <w:basedOn w:val="1"/>
    <w:next w:val="1"/>
    <w:qFormat/>
    <w:uiPriority w:val="0"/>
    <w:pPr>
      <w:ind w:left="1680"/>
    </w:pPr>
  </w:style>
  <w:style w:type="paragraph" w:styleId="4">
    <w:name w:val="Body Text"/>
    <w:basedOn w:val="1"/>
    <w:next w:val="1"/>
    <w:qFormat/>
    <w:uiPriority w:val="0"/>
    <w:pPr>
      <w:jc w:val="center"/>
    </w:pPr>
    <w:rPr>
      <w:sz w:val="44"/>
      <w:szCs w:val="20"/>
    </w:rPr>
  </w:style>
  <w:style w:type="paragraph" w:styleId="5">
    <w:name w:val="Body Text Indent"/>
    <w:basedOn w:val="1"/>
    <w:next w:val="3"/>
    <w:qFormat/>
    <w:uiPriority w:val="0"/>
    <w:pPr>
      <w:widowControl w:val="0"/>
      <w:ind w:firstLine="360"/>
      <w:jc w:val="both"/>
    </w:pPr>
    <w:rPr>
      <w:rFonts w:ascii="Times New Roman" w:hAnsi="Times New Roman" w:eastAsia="宋体" w:cs="Times New Roman"/>
      <w:kern w:val="2"/>
      <w:sz w:val="21"/>
      <w:szCs w:val="20"/>
      <w:lang w:val="en-US" w:eastAsia="zh-CN" w:bidi="ar-SA"/>
    </w:rPr>
  </w:style>
  <w:style w:type="paragraph" w:styleId="6">
    <w:name w:val="footer"/>
    <w:basedOn w:val="1"/>
    <w:next w:val="3"/>
    <w:qFormat/>
    <w:uiPriority w:val="0"/>
    <w:pPr>
      <w:tabs>
        <w:tab w:val="center" w:pos="4153"/>
        <w:tab w:val="right" w:pos="8306"/>
      </w:tabs>
      <w:snapToGrid w:val="0"/>
      <w:jc w:val="left"/>
    </w:pPr>
    <w:rPr>
      <w:sz w:val="18"/>
      <w:szCs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First Indent 2"/>
    <w:basedOn w:val="5"/>
    <w:next w:val="6"/>
    <w:qFormat/>
    <w:uiPriority w:val="0"/>
    <w:pPr>
      <w:ind w:firstLine="20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2086</Words>
  <Characters>2297</Characters>
  <Lines>0</Lines>
  <Paragraphs>0</Paragraphs>
  <TotalTime>1</TotalTime>
  <ScaleCrop>false</ScaleCrop>
  <LinksUpToDate>false</LinksUpToDate>
  <CharactersWithSpaces>2302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2022-06-09T06:19:23Z</dcterms:created>
  <dc:creator>tech-winning</dc:creator>
  <cp:lastModifiedBy>tech-winning</cp:lastModifiedBy>
  <dcterms:modified xsi:type="dcterms:W3CDTF">2022-06-09T06:20:38Z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8A856195D957487B9409C957F7B76C1D</vt:lpwstr>
  </property>
</Properties>
</file>