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46" w:rsidRDefault="00AC34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天津市医保局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公开征求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《天津市长期护理保险委托经办机构考核清算办法》</w:t>
      </w:r>
    </w:p>
    <w:p w:rsidR="00364046" w:rsidRDefault="00AC34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意见的公告</w:t>
      </w:r>
    </w:p>
    <w:p w:rsidR="00364046" w:rsidRDefault="00364046">
      <w:pPr>
        <w:pStyle w:val="Default"/>
        <w:spacing w:line="560" w:lineRule="exact"/>
        <w:ind w:firstLineChars="200" w:firstLine="640"/>
        <w:jc w:val="both"/>
        <w:rPr>
          <w:rFonts w:ascii="Times New Roman" w:eastAsia="仿宋_GB2312" w:hAnsi="Times New Roman" w:hint="default"/>
          <w:color w:val="auto"/>
          <w:sz w:val="32"/>
          <w:szCs w:val="32"/>
        </w:rPr>
      </w:pPr>
    </w:p>
    <w:p w:rsidR="00364046" w:rsidRDefault="00AC3411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为进一步提升本市长期护理保险（以下简称“长护险”）委托经办服务水平，提高管理服务效能，根据国家和本市长</w:t>
      </w:r>
      <w:proofErr w:type="gramStart"/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护险相关</w:t>
      </w:r>
      <w:proofErr w:type="gramEnd"/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政策规定，结合本市实际，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我们研究起草了《天津市长期护理保险委托经办机构考核清算办法》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。为广泛听取社会意见，提高决策科学性、合理性，现将征求意见稿全文及起草说明向社会公布。社会公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众可在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2024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年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6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月</w:t>
      </w:r>
      <w:r w:rsidR="003507AA"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5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日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18:00</w:t>
      </w:r>
      <w:r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前，通过以下方式查阅并提出修改意见。</w:t>
      </w:r>
    </w:p>
    <w:p w:rsidR="00364046" w:rsidRDefault="00AC3411">
      <w:pPr>
        <w:pStyle w:val="Default"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default"/>
          <w:color w:val="auto"/>
          <w:sz w:val="32"/>
          <w:szCs w:val="32"/>
        </w:rPr>
      </w:pPr>
      <w:proofErr w:type="gramStart"/>
      <w:r>
        <w:rPr>
          <w:rFonts w:ascii="黑体" w:eastAsia="黑体" w:hAnsi="黑体" w:cs="黑体"/>
          <w:color w:val="auto"/>
          <w:sz w:val="32"/>
          <w:szCs w:val="32"/>
        </w:rPr>
        <w:t>官网查阅</w:t>
      </w:r>
      <w:proofErr w:type="gramEnd"/>
    </w:p>
    <w:p w:rsidR="00364046" w:rsidRDefault="00AC3411">
      <w:pPr>
        <w:pStyle w:val="Default"/>
        <w:spacing w:line="560" w:lineRule="exact"/>
        <w:rPr>
          <w:rFonts w:ascii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auto"/>
          <w:sz w:val="32"/>
          <w:szCs w:val="32"/>
        </w:rPr>
        <w:t>天津市医疗保障局（</w:t>
      </w:r>
      <w:r>
        <w:rPr>
          <w:rFonts w:ascii="Times New Roman" w:eastAsia="仿宋_GB2312" w:hAnsi="Times New Roman"/>
          <w:color w:val="auto"/>
          <w:sz w:val="32"/>
          <w:szCs w:val="32"/>
        </w:rPr>
        <w:t>ylbz.tj.gov.cn</w:t>
      </w:r>
      <w:r>
        <w:rPr>
          <w:rFonts w:ascii="Times New Roman" w:eastAsia="仿宋_GB2312" w:hAnsi="Times New Roman"/>
          <w:color w:val="auto"/>
          <w:sz w:val="32"/>
          <w:szCs w:val="32"/>
        </w:rPr>
        <w:t>）</w:t>
      </w:r>
      <w:r>
        <w:rPr>
          <w:rFonts w:ascii="Times New Roman" w:eastAsia="仿宋_GB2312" w:hAnsi="Times New Roman"/>
          <w:color w:val="auto"/>
          <w:sz w:val="32"/>
          <w:szCs w:val="32"/>
        </w:rPr>
        <w:t>-</w:t>
      </w:r>
      <w:r>
        <w:rPr>
          <w:rFonts w:ascii="Times New Roman" w:eastAsia="仿宋_GB2312" w:hAnsi="Times New Roman"/>
          <w:color w:val="auto"/>
          <w:sz w:val="32"/>
          <w:szCs w:val="32"/>
        </w:rPr>
        <w:t>互动平台</w:t>
      </w:r>
      <w:r>
        <w:rPr>
          <w:rFonts w:ascii="Times New Roman" w:eastAsia="仿宋_GB2312" w:hAnsi="Times New Roman"/>
          <w:color w:val="auto"/>
          <w:sz w:val="32"/>
          <w:szCs w:val="32"/>
        </w:rPr>
        <w:t>-</w:t>
      </w:r>
      <w:r>
        <w:rPr>
          <w:rFonts w:ascii="Times New Roman" w:eastAsia="仿宋_GB2312" w:hAnsi="Times New Roman"/>
          <w:color w:val="auto"/>
          <w:sz w:val="32"/>
          <w:szCs w:val="32"/>
        </w:rPr>
        <w:t>征求意见栏目进行查阅。</w:t>
      </w:r>
    </w:p>
    <w:p w:rsidR="00364046" w:rsidRDefault="00AC3411">
      <w:pPr>
        <w:pStyle w:val="Default"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default"/>
          <w:color w:val="auto"/>
          <w:sz w:val="32"/>
          <w:szCs w:val="32"/>
        </w:rPr>
      </w:pPr>
      <w:r>
        <w:rPr>
          <w:rFonts w:ascii="黑体" w:eastAsia="黑体" w:hAnsi="黑体" w:cs="黑体"/>
          <w:color w:val="auto"/>
          <w:sz w:val="32"/>
          <w:szCs w:val="32"/>
        </w:rPr>
        <w:t>反馈意见</w:t>
      </w:r>
    </w:p>
    <w:p w:rsidR="00364046" w:rsidRDefault="00AC3411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通过电子邮件反馈意见请发至：</w:t>
      </w:r>
      <w:r>
        <w:rPr>
          <w:rFonts w:ascii="Times New Roman" w:eastAsia="仿宋_GB2312" w:hAnsi="Times New Roman"/>
          <w:color w:val="auto"/>
          <w:sz w:val="32"/>
          <w:szCs w:val="32"/>
        </w:rPr>
        <w:t>sybjdybzc@tj.gov.cn</w:t>
      </w:r>
      <w:r>
        <w:rPr>
          <w:rFonts w:ascii="Times New Roman" w:eastAsia="仿宋_GB2312" w:hAnsi="Times New Roman"/>
          <w:color w:val="auto"/>
          <w:sz w:val="32"/>
          <w:szCs w:val="32"/>
        </w:rPr>
        <w:t>，或通过信函方式反馈意见，请邮寄至：天津市南开区咸阳路</w:t>
      </w:r>
      <w:r>
        <w:rPr>
          <w:rFonts w:ascii="Times New Roman" w:eastAsia="仿宋_GB2312" w:hAnsi="Times New Roman"/>
          <w:color w:val="auto"/>
          <w:sz w:val="32"/>
          <w:szCs w:val="32"/>
        </w:rPr>
        <w:t>81</w:t>
      </w:r>
      <w:r>
        <w:rPr>
          <w:rFonts w:ascii="Times New Roman" w:eastAsia="仿宋_GB2312" w:hAnsi="Times New Roman"/>
          <w:color w:val="auto"/>
          <w:sz w:val="32"/>
          <w:szCs w:val="32"/>
        </w:rPr>
        <w:t>号待遇保障处，并在信封上注明“考核清算”字样。</w:t>
      </w:r>
    </w:p>
    <w:p w:rsidR="00364046" w:rsidRDefault="00AC3411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感谢社会公众对医疗保障工作的关注和支持。</w:t>
      </w:r>
    </w:p>
    <w:p w:rsidR="00364046" w:rsidRDefault="00364046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</w:p>
    <w:p w:rsidR="00364046" w:rsidRDefault="00AC3411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附件：</w:t>
      </w:r>
      <w:r>
        <w:rPr>
          <w:rFonts w:ascii="仿宋_GB2312" w:eastAsia="仿宋_GB2312" w:hAnsi="宋体" w:cs="仿宋_GB2312" w:hint="default"/>
          <w:sz w:val="31"/>
          <w:szCs w:val="31"/>
          <w:shd w:val="clear" w:color="auto" w:fill="FFFFFF"/>
        </w:rPr>
        <w:t>《天津市长期护理保险委托经办机构考核清算办法》</w:t>
      </w:r>
      <w:r>
        <w:rPr>
          <w:rFonts w:ascii="Times New Roman" w:eastAsia="仿宋_GB2312" w:hAnsi="Times New Roman" w:hint="default"/>
          <w:color w:val="auto"/>
          <w:sz w:val="32"/>
          <w:szCs w:val="32"/>
        </w:rPr>
        <w:t>及其起草说明</w:t>
      </w:r>
      <w:r>
        <w:rPr>
          <w:rFonts w:ascii="Times New Roman" w:eastAsia="仿宋_GB2312" w:hAnsi="Times New Roman"/>
          <w:color w:val="auto"/>
          <w:sz w:val="32"/>
          <w:szCs w:val="32"/>
        </w:rPr>
        <w:t xml:space="preserve">                          </w:t>
      </w:r>
    </w:p>
    <w:p w:rsidR="00364046" w:rsidRDefault="00364046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</w:p>
    <w:p w:rsidR="00364046" w:rsidRDefault="00364046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</w:p>
    <w:p w:rsidR="00364046" w:rsidRDefault="00364046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</w:p>
    <w:p w:rsidR="00364046" w:rsidRDefault="00AC3411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 w:hint="default"/>
          <w:color w:val="auto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/>
          <w:color w:val="auto"/>
          <w:sz w:val="32"/>
          <w:szCs w:val="32"/>
        </w:rPr>
        <w:t xml:space="preserve">   202</w:t>
      </w:r>
      <w:r>
        <w:rPr>
          <w:rFonts w:ascii="Times New Roman" w:eastAsia="仿宋_GB2312" w:hAnsi="Times New Roman" w:hint="default"/>
          <w:color w:val="auto"/>
          <w:sz w:val="32"/>
          <w:szCs w:val="32"/>
        </w:rPr>
        <w:t>4</w:t>
      </w:r>
      <w:r>
        <w:rPr>
          <w:rFonts w:ascii="Times New Roman" w:eastAsia="仿宋_GB2312" w:hAnsi="Times New Roman"/>
          <w:color w:val="auto"/>
          <w:sz w:val="32"/>
          <w:szCs w:val="32"/>
        </w:rPr>
        <w:t>年</w:t>
      </w:r>
      <w:r>
        <w:rPr>
          <w:rFonts w:ascii="Times New Roman" w:eastAsia="仿宋_GB2312" w:hAnsi="Times New Roman" w:hint="default"/>
          <w:color w:val="auto"/>
          <w:sz w:val="32"/>
          <w:szCs w:val="32"/>
        </w:rPr>
        <w:t>5</w:t>
      </w:r>
      <w:r>
        <w:rPr>
          <w:rFonts w:ascii="Times New Roman" w:eastAsia="仿宋_GB2312" w:hAnsi="Times New Roman"/>
          <w:color w:val="auto"/>
          <w:sz w:val="32"/>
          <w:szCs w:val="32"/>
        </w:rPr>
        <w:t>月</w:t>
      </w:r>
      <w:r>
        <w:rPr>
          <w:rFonts w:ascii="Times New Roman" w:eastAsia="仿宋_GB2312" w:hAnsi="Times New Roman" w:hint="default"/>
          <w:color w:val="auto"/>
          <w:sz w:val="32"/>
          <w:szCs w:val="32"/>
        </w:rPr>
        <w:t>2</w:t>
      </w:r>
      <w:r w:rsidR="001B454C">
        <w:rPr>
          <w:rFonts w:ascii="Times New Roman" w:eastAsia="仿宋_GB2312" w:hAnsi="Times New Roman" w:hint="default"/>
          <w:color w:val="auto"/>
          <w:sz w:val="32"/>
          <w:szCs w:val="32"/>
        </w:rPr>
        <w:t>7</w:t>
      </w:r>
      <w:bookmarkStart w:id="0" w:name="_GoBack"/>
      <w:bookmarkEnd w:id="0"/>
      <w:r>
        <w:rPr>
          <w:rFonts w:ascii="Times New Roman" w:eastAsia="仿宋_GB2312" w:hAnsi="Times New Roman"/>
          <w:color w:val="auto"/>
          <w:sz w:val="32"/>
          <w:szCs w:val="32"/>
        </w:rPr>
        <w:t>日</w:t>
      </w:r>
    </w:p>
    <w:p w:rsidR="00364046" w:rsidRDefault="00AC3411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（此件主动公开）</w:t>
      </w:r>
    </w:p>
    <w:p w:rsidR="00364046" w:rsidRDefault="00AC3411">
      <w:pPr>
        <w:rPr>
          <w:szCs w:val="21"/>
        </w:rPr>
      </w:pPr>
      <w:r>
        <w:rPr>
          <w:szCs w:val="21"/>
        </w:rPr>
        <w:br/>
      </w:r>
    </w:p>
    <w:p w:rsidR="00364046" w:rsidRDefault="00364046">
      <w:pPr>
        <w:rPr>
          <w:szCs w:val="21"/>
        </w:rPr>
      </w:pPr>
    </w:p>
    <w:p w:rsidR="00364046" w:rsidRDefault="00364046">
      <w:pPr>
        <w:rPr>
          <w:szCs w:val="21"/>
        </w:rPr>
      </w:pPr>
    </w:p>
    <w:p w:rsidR="00364046" w:rsidRDefault="00364046">
      <w:pPr>
        <w:rPr>
          <w:szCs w:val="21"/>
        </w:rPr>
      </w:pPr>
    </w:p>
    <w:p w:rsidR="00364046" w:rsidRDefault="00364046">
      <w:pPr>
        <w:pStyle w:val="a0"/>
        <w:rPr>
          <w:szCs w:val="21"/>
        </w:rPr>
      </w:pPr>
    </w:p>
    <w:p w:rsidR="00364046" w:rsidRDefault="00364046">
      <w:pPr>
        <w:pStyle w:val="5"/>
        <w:rPr>
          <w:szCs w:val="21"/>
        </w:rPr>
      </w:pPr>
    </w:p>
    <w:p w:rsidR="00364046" w:rsidRDefault="00364046">
      <w:pPr>
        <w:rPr>
          <w:szCs w:val="21"/>
        </w:rPr>
      </w:pPr>
    </w:p>
    <w:p w:rsidR="00364046" w:rsidRDefault="00364046">
      <w:pPr>
        <w:pStyle w:val="a0"/>
        <w:rPr>
          <w:szCs w:val="21"/>
        </w:rPr>
      </w:pPr>
    </w:p>
    <w:p w:rsidR="00364046" w:rsidRDefault="00364046">
      <w:pPr>
        <w:pStyle w:val="5"/>
        <w:rPr>
          <w:szCs w:val="21"/>
        </w:rPr>
      </w:pPr>
    </w:p>
    <w:p w:rsidR="00364046" w:rsidRDefault="00364046">
      <w:pPr>
        <w:rPr>
          <w:szCs w:val="21"/>
        </w:rPr>
      </w:pPr>
    </w:p>
    <w:p w:rsidR="00364046" w:rsidRDefault="00364046">
      <w:pPr>
        <w:pStyle w:val="a0"/>
        <w:rPr>
          <w:szCs w:val="21"/>
        </w:rPr>
      </w:pPr>
    </w:p>
    <w:p w:rsidR="00364046" w:rsidRDefault="00364046">
      <w:pPr>
        <w:pStyle w:val="5"/>
      </w:pPr>
    </w:p>
    <w:p w:rsidR="00364046" w:rsidRDefault="00364046"/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AC341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/>
          <w:sz w:val="44"/>
          <w:szCs w:val="52"/>
        </w:rPr>
        <w:t>天津市长期护理保险委托</w:t>
      </w:r>
    </w:p>
    <w:p w:rsidR="00364046" w:rsidRDefault="00AC341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/>
          <w:sz w:val="44"/>
          <w:szCs w:val="52"/>
        </w:rPr>
        <w:t>经办机构考核清算办法</w:t>
      </w:r>
    </w:p>
    <w:p w:rsidR="00364046" w:rsidRDefault="00AC3411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公开征求社会意见</w:t>
      </w:r>
      <w:r>
        <w:rPr>
          <w:rFonts w:ascii="楷体" w:eastAsia="楷体" w:hAnsi="楷体" w:cs="楷体" w:hint="eastAsia"/>
          <w:sz w:val="32"/>
          <w:szCs w:val="32"/>
        </w:rPr>
        <w:t>稿）</w:t>
      </w:r>
    </w:p>
    <w:p w:rsidR="00364046" w:rsidRDefault="0036404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</w:p>
    <w:p w:rsidR="00364046" w:rsidRDefault="00AC3411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第一章</w:t>
      </w:r>
      <w:r>
        <w:rPr>
          <w:rFonts w:ascii="Times New Roman" w:eastAsia="方正小标宋简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总则</w:t>
      </w:r>
    </w:p>
    <w:p w:rsidR="00364046" w:rsidRDefault="00364046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364046" w:rsidRDefault="00AC3411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第一条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为进一步提升本市长期护理保险（以下简称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长护险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）委托经办服务水平，提高管理服务效能，根据国家和本市长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护险相关</w:t>
      </w:r>
      <w:proofErr w:type="gramEnd"/>
      <w:r>
        <w:rPr>
          <w:rFonts w:ascii="Times New Roman" w:eastAsia="仿宋_GB2312" w:hAnsi="Times New Roman"/>
          <w:sz w:val="32"/>
          <w:szCs w:val="32"/>
        </w:rPr>
        <w:t>政策规定，结合本市实际，制定本办法。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第二条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本市医疗保障经办机构（以下简称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保经办机构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）对长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护险委托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经办机构的考核清算工作适用本办法。</w:t>
      </w:r>
    </w:p>
    <w:p w:rsidR="00364046" w:rsidRDefault="00AC3411">
      <w:pPr>
        <w:spacing w:line="560" w:lineRule="exact"/>
        <w:ind w:firstLine="642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第三条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考核清算坚持公开、公正、科学、规范原则；坚持内部评价与外部评价相结合原则；坚持以考促管，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考管结合</w:t>
      </w:r>
      <w:proofErr w:type="gramEnd"/>
      <w:r>
        <w:rPr>
          <w:rFonts w:ascii="Times New Roman" w:eastAsia="仿宋_GB2312" w:hAnsi="Times New Roman"/>
          <w:sz w:val="32"/>
          <w:szCs w:val="32"/>
        </w:rPr>
        <w:t>原则，强化</w:t>
      </w:r>
      <w:r>
        <w:rPr>
          <w:rFonts w:ascii="Times New Roman" w:eastAsia="仿宋_GB2312" w:hAnsi="Times New Roman"/>
          <w:sz w:val="32"/>
          <w:szCs w:val="32"/>
        </w:rPr>
        <w:t>考核评定结果应用，提升管理效能。</w:t>
      </w:r>
    </w:p>
    <w:p w:rsidR="00364046" w:rsidRDefault="00AC3411">
      <w:pPr>
        <w:spacing w:line="560" w:lineRule="exact"/>
        <w:ind w:firstLine="642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第四条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市医疗保障行政部门</w:t>
      </w:r>
      <w:r>
        <w:rPr>
          <w:rFonts w:ascii="Times New Roman" w:eastAsia="仿宋_GB2312" w:hAnsi="Times New Roman"/>
          <w:sz w:val="32"/>
          <w:szCs w:val="32"/>
        </w:rPr>
        <w:t>负责制定本市长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护险委托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经办机构考核办法。</w:t>
      </w:r>
      <w:r>
        <w:rPr>
          <w:rFonts w:ascii="Times New Roman" w:eastAsia="仿宋_GB2312" w:hAnsi="Times New Roman"/>
          <w:sz w:val="32"/>
          <w:szCs w:val="32"/>
        </w:rPr>
        <w:t>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保经办机构负责考核清算具体实施工作。委托经办机构配合做好考核清算工作。</w:t>
      </w:r>
    </w:p>
    <w:p w:rsidR="00364046" w:rsidRDefault="0036404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64046" w:rsidRDefault="00AC3411">
      <w:pPr>
        <w:numPr>
          <w:ilvl w:val="0"/>
          <w:numId w:val="2"/>
        </w:num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内容和指标</w:t>
      </w:r>
    </w:p>
    <w:p w:rsidR="00364046" w:rsidRDefault="00364046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第五条</w:t>
      </w:r>
      <w:r>
        <w:rPr>
          <w:rFonts w:ascii="黑体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以委托经办服务实绩为重点，以服务对象满意度为基础，聚焦长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护险委托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经办的内部制度建设及执行情况、经办管理和服务能力情况</w:t>
      </w:r>
      <w:r>
        <w:rPr>
          <w:rFonts w:ascii="Times New Roman" w:eastAsia="仿宋_GB2312" w:hAnsi="Times New Roman"/>
          <w:sz w:val="32"/>
          <w:szCs w:val="32"/>
        </w:rPr>
        <w:t>、信息管理情况、基金管理情况、风险防控情况、投标承诺兑现情况等方面进行</w:t>
      </w:r>
      <w:r>
        <w:rPr>
          <w:rFonts w:ascii="Times New Roman" w:eastAsia="仿宋_GB2312" w:hAnsi="Times New Roman"/>
          <w:sz w:val="32"/>
          <w:szCs w:val="32"/>
        </w:rPr>
        <w:t>考核清算。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第六条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委托经办机构应建立健全与</w:t>
      </w:r>
      <w:proofErr w:type="gramStart"/>
      <w:r>
        <w:rPr>
          <w:rFonts w:ascii="Times New Roman" w:eastAsia="仿宋_GB2312" w:hAnsi="Times New Roman"/>
          <w:sz w:val="32"/>
          <w:szCs w:val="32"/>
        </w:rPr>
        <w:t>长护险管理</w:t>
      </w:r>
      <w:proofErr w:type="gramEnd"/>
      <w:r>
        <w:rPr>
          <w:rFonts w:ascii="Times New Roman" w:eastAsia="仿宋_GB2312" w:hAnsi="Times New Roman"/>
          <w:sz w:val="32"/>
          <w:szCs w:val="32"/>
        </w:rPr>
        <w:t>相适应的人员及设施管理、财务管理、公文管理、档案管理、风险防控和巡查稽核、业务经办意见和规程等规范或制度，有内部执行文件并严格贯彻落实。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第七条</w:t>
      </w:r>
      <w:r>
        <w:rPr>
          <w:rFonts w:ascii="黑体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经办管理和服务能力情况应重点将机构及人员、失能评定、护理服务、巡查检查</w:t>
      </w:r>
      <w:r>
        <w:rPr>
          <w:rFonts w:eastAsia="仿宋_GB2312" w:hint="eastAsia"/>
          <w:sz w:val="32"/>
          <w:szCs w:val="32"/>
        </w:rPr>
        <w:t>、质控投诉、组织管理和综合指标</w:t>
      </w:r>
      <w:r>
        <w:rPr>
          <w:rFonts w:ascii="Times New Roman" w:eastAsia="仿宋_GB2312" w:hAnsi="Times New Roman"/>
          <w:sz w:val="32"/>
          <w:szCs w:val="32"/>
        </w:rPr>
        <w:t>等经办工作开展情况纳入考核清算范围，客观体现服务能力。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第八条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val="zh-CN"/>
        </w:rPr>
        <w:t>委托经办机构应加强对信息系统操作培训和权限管理，根据运行情况，</w:t>
      </w:r>
      <w:proofErr w:type="gramStart"/>
      <w:r>
        <w:rPr>
          <w:rFonts w:ascii="Times New Roman" w:eastAsia="仿宋_GB2312" w:hAnsi="Times New Roman"/>
          <w:sz w:val="32"/>
          <w:szCs w:val="32"/>
          <w:lang w:val="zh-CN"/>
        </w:rPr>
        <w:t>及时</w:t>
      </w:r>
      <w:r>
        <w:rPr>
          <w:rFonts w:eastAsia="仿宋_GB2312" w:hint="eastAsia"/>
          <w:sz w:val="32"/>
          <w:szCs w:val="32"/>
        </w:rPr>
        <w:t>维护</w:t>
      </w:r>
      <w:proofErr w:type="gramEnd"/>
      <w:r>
        <w:rPr>
          <w:rFonts w:eastAsia="仿宋_GB2312" w:hint="eastAsia"/>
          <w:sz w:val="32"/>
          <w:szCs w:val="32"/>
        </w:rPr>
        <w:t>信息数据，</w:t>
      </w:r>
      <w:r>
        <w:rPr>
          <w:rFonts w:ascii="Times New Roman" w:eastAsia="仿宋_GB2312" w:hAnsi="Times New Roman"/>
          <w:sz w:val="32"/>
          <w:szCs w:val="32"/>
          <w:lang w:val="zh-CN"/>
        </w:rPr>
        <w:t>提出</w:t>
      </w:r>
      <w:proofErr w:type="gramStart"/>
      <w:r>
        <w:rPr>
          <w:rFonts w:ascii="Times New Roman" w:eastAsia="仿宋_GB2312" w:hAnsi="Times New Roman"/>
          <w:sz w:val="32"/>
          <w:szCs w:val="32"/>
          <w:lang w:val="zh-CN"/>
        </w:rPr>
        <w:t>长护险系统需求</w:t>
      </w:r>
      <w:proofErr w:type="gramEnd"/>
      <w:r>
        <w:rPr>
          <w:rFonts w:ascii="Times New Roman" w:eastAsia="仿宋_GB2312" w:hAnsi="Times New Roman"/>
          <w:sz w:val="32"/>
          <w:szCs w:val="32"/>
          <w:lang w:val="zh-CN"/>
        </w:rPr>
        <w:t>建议，并确保工作人员熟练运用信息系统，及时信息推送，控制信息使用范围</w:t>
      </w:r>
      <w:r>
        <w:rPr>
          <w:rFonts w:ascii="Times New Roman" w:eastAsia="仿宋_GB2312" w:hAnsi="Times New Roman"/>
          <w:sz w:val="32"/>
          <w:szCs w:val="32"/>
          <w:lang w:val="zh-CN"/>
        </w:rPr>
        <w:t>，切实加强数据安全。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第九条</w:t>
      </w:r>
      <w:r>
        <w:rPr>
          <w:rFonts w:ascii="黑体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委托经办机构严格执行财务列支和会计核算制度，对长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护险基金</w:t>
      </w:r>
      <w:proofErr w:type="gramEnd"/>
      <w:r>
        <w:rPr>
          <w:rFonts w:ascii="Times New Roman" w:eastAsia="仿宋_GB2312" w:hAnsi="Times New Roman"/>
          <w:sz w:val="32"/>
          <w:szCs w:val="32"/>
        </w:rPr>
        <w:t>单独建账、独立核算，规范财务报表，相关原始凭证与电子或</w:t>
      </w:r>
      <w:proofErr w:type="gramStart"/>
      <w:r>
        <w:rPr>
          <w:rFonts w:ascii="Times New Roman" w:eastAsia="仿宋_GB2312" w:hAnsi="Times New Roman"/>
          <w:sz w:val="32"/>
          <w:szCs w:val="32"/>
        </w:rPr>
        <w:t>纸质账套相符</w:t>
      </w:r>
      <w:proofErr w:type="gramEnd"/>
      <w:r>
        <w:rPr>
          <w:rFonts w:ascii="Times New Roman" w:eastAsia="仿宋_GB2312" w:hAnsi="Times New Roman"/>
          <w:sz w:val="32"/>
          <w:szCs w:val="32"/>
        </w:rPr>
        <w:t>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第十条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委托经办机构在经办服务中，应切实加强风险管控，投诉举报</w:t>
      </w:r>
      <w:r>
        <w:rPr>
          <w:rFonts w:ascii="Times New Roman" w:eastAsia="仿宋_GB2312" w:hAnsi="Times New Roman"/>
          <w:sz w:val="32"/>
          <w:szCs w:val="32"/>
        </w:rPr>
        <w:t>及受理办结</w:t>
      </w:r>
      <w:r>
        <w:rPr>
          <w:rFonts w:ascii="Times New Roman" w:eastAsia="仿宋_GB2312" w:hAnsi="Times New Roman"/>
          <w:sz w:val="32"/>
          <w:szCs w:val="32"/>
        </w:rPr>
        <w:t>，实施绩效评价，加强对异常数据筛查管理，严格廉洁自律，</w:t>
      </w:r>
      <w:r>
        <w:rPr>
          <w:rFonts w:ascii="Times New Roman" w:eastAsia="仿宋_GB2312" w:hAnsi="Times New Roman" w:hint="eastAsia"/>
          <w:sz w:val="32"/>
          <w:szCs w:val="32"/>
        </w:rPr>
        <w:t>落实保密安全工作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开展满意度调查。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第十一条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聚焦委托经办机构在经办人员配置及要求、办公场所及要求、办公设备及要求、日常运营要求、培训宣传要求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档案管理要求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财务审计要求</w:t>
      </w:r>
      <w:r>
        <w:rPr>
          <w:rFonts w:eastAsia="仿宋_GB2312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，以及委托经办费实际执行情况</w:t>
      </w:r>
      <w:r>
        <w:rPr>
          <w:rFonts w:ascii="Times New Roman" w:hAnsi="Times New Roman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兑现情况进行考核，建立对承诺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制考核</w:t>
      </w:r>
      <w:proofErr w:type="gramEnd"/>
      <w:r>
        <w:rPr>
          <w:rFonts w:ascii="Times New Roman" w:eastAsia="仿宋_GB2312" w:hAnsi="Times New Roman"/>
          <w:sz w:val="32"/>
          <w:szCs w:val="32"/>
        </w:rPr>
        <w:t>机制。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第十二条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结合委托经办机构对协议机构考核清算等情况，市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保经办机构开展对委托经办机构长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护险基金</w:t>
      </w:r>
      <w:proofErr w:type="gramEnd"/>
      <w:r>
        <w:rPr>
          <w:rFonts w:ascii="Times New Roman" w:eastAsia="仿宋_GB2312" w:hAnsi="Times New Roman"/>
          <w:sz w:val="32"/>
          <w:szCs w:val="32"/>
        </w:rPr>
        <w:t>清算，做到账</w:t>
      </w:r>
      <w:proofErr w:type="gramStart"/>
      <w:r>
        <w:rPr>
          <w:rFonts w:ascii="Times New Roman" w:eastAsia="仿宋_GB2312" w:hAnsi="Times New Roman"/>
          <w:sz w:val="32"/>
          <w:szCs w:val="32"/>
        </w:rPr>
        <w:t>账</w:t>
      </w:r>
      <w:proofErr w:type="gramEnd"/>
      <w:r>
        <w:rPr>
          <w:rFonts w:ascii="Times New Roman" w:eastAsia="仿宋_GB2312" w:hAnsi="Times New Roman"/>
          <w:sz w:val="32"/>
          <w:szCs w:val="32"/>
        </w:rPr>
        <w:t>相符、账实相符；依据委托经办机构考核结果</w:t>
      </w:r>
      <w:r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经办服务费清算，做到激励约束。</w:t>
      </w:r>
    </w:p>
    <w:p w:rsidR="00364046" w:rsidRDefault="0036404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64046" w:rsidRDefault="00AC3411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第三章</w:t>
      </w:r>
      <w:r>
        <w:rPr>
          <w:rFonts w:ascii="Times New Roman" w:eastAsia="方正小标宋简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方法和程序</w:t>
      </w:r>
    </w:p>
    <w:p w:rsidR="00364046" w:rsidRDefault="0036404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第十三条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考核清算工作</w:t>
      </w:r>
      <w:r>
        <w:rPr>
          <w:rFonts w:eastAsia="仿宋_GB2312" w:hint="eastAsia"/>
          <w:sz w:val="32"/>
          <w:szCs w:val="32"/>
        </w:rPr>
        <w:t>由市</w:t>
      </w:r>
      <w:proofErr w:type="gramStart"/>
      <w:r>
        <w:rPr>
          <w:rFonts w:eastAsia="仿宋_GB2312" w:hint="eastAsia"/>
          <w:sz w:val="32"/>
          <w:szCs w:val="32"/>
        </w:rPr>
        <w:t>医</w:t>
      </w:r>
      <w:proofErr w:type="gramEnd"/>
      <w:r>
        <w:rPr>
          <w:rFonts w:eastAsia="仿宋_GB2312" w:hint="eastAsia"/>
          <w:sz w:val="32"/>
          <w:szCs w:val="32"/>
        </w:rPr>
        <w:t>保经办</w:t>
      </w:r>
      <w:r>
        <w:rPr>
          <w:rFonts w:eastAsia="仿宋_GB2312"/>
          <w:sz w:val="32"/>
          <w:szCs w:val="32"/>
        </w:rPr>
        <w:t>机构组织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，具体按照</w:t>
      </w:r>
      <w:r>
        <w:rPr>
          <w:rFonts w:eastAsia="仿宋_GB2312" w:hint="eastAsia"/>
          <w:sz w:val="32"/>
          <w:szCs w:val="32"/>
        </w:rPr>
        <w:t>机构自查、实地考核、考核评议等流程进行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64046" w:rsidRDefault="00AC34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第十四条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考核清算工作以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各委托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经办机构为考核</w:t>
      </w:r>
      <w:r>
        <w:rPr>
          <w:rFonts w:ascii="Times New Roman" w:eastAsia="仿宋_GB2312" w:hAnsi="Times New Roman"/>
          <w:sz w:val="32"/>
          <w:szCs w:val="32"/>
        </w:rPr>
        <w:t>对象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考核结果采用百分制。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各委托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经办机构</w:t>
      </w:r>
      <w:r>
        <w:rPr>
          <w:rFonts w:ascii="仿宋_GB2312" w:eastAsia="仿宋_GB2312" w:hint="eastAsia"/>
          <w:sz w:val="32"/>
          <w:szCs w:val="32"/>
        </w:rPr>
        <w:t>考核总得分</w:t>
      </w:r>
      <w:r>
        <w:rPr>
          <w:rFonts w:ascii="仿宋_GB2312" w:eastAsia="仿宋_GB2312"/>
          <w:sz w:val="32"/>
          <w:szCs w:val="32"/>
        </w:rPr>
        <w:t>由委托经办</w:t>
      </w:r>
      <w:r>
        <w:rPr>
          <w:rFonts w:ascii="仿宋_GB2312" w:eastAsia="仿宋_GB2312" w:hint="eastAsia"/>
          <w:sz w:val="32"/>
          <w:szCs w:val="32"/>
        </w:rPr>
        <w:t>机构得分、辖区分中心得分、市级综合服务中心得分的加权平均</w:t>
      </w:r>
      <w:r>
        <w:rPr>
          <w:rFonts w:ascii="仿宋_GB2312" w:eastAsia="仿宋_GB2312"/>
          <w:sz w:val="32"/>
          <w:szCs w:val="32"/>
        </w:rPr>
        <w:t>后形成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第十五条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市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保经办机构应结合经办工作实际，</w:t>
      </w:r>
      <w:r>
        <w:rPr>
          <w:rFonts w:ascii="仿宋_GB2312" w:eastAsia="仿宋_GB2312" w:cs="仿宋_GB2312"/>
          <w:sz w:val="32"/>
          <w:szCs w:val="32"/>
        </w:rPr>
        <w:t>在制定考核清算工作方案时，</w:t>
      </w:r>
      <w:r>
        <w:rPr>
          <w:rFonts w:ascii="仿宋_GB2312" w:eastAsia="仿宋_GB2312" w:cs="仿宋_GB2312" w:hint="eastAsia"/>
          <w:sz w:val="32"/>
          <w:szCs w:val="32"/>
        </w:rPr>
        <w:t>细化项目指标和权重，确定各项指标的考核对象与评分方法，</w:t>
      </w:r>
      <w:r>
        <w:rPr>
          <w:rFonts w:ascii="仿宋_GB2312" w:eastAsia="仿宋_GB2312" w:cs="仿宋_GB2312"/>
          <w:sz w:val="32"/>
          <w:szCs w:val="32"/>
        </w:rPr>
        <w:t>确保考核工作客观、真实、全面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第十六条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考核清算</w:t>
      </w:r>
      <w:r>
        <w:rPr>
          <w:rFonts w:eastAsia="仿宋_GB2312" w:hint="eastAsia"/>
          <w:sz w:val="32"/>
          <w:szCs w:val="32"/>
        </w:rPr>
        <w:t>原则上</w:t>
      </w:r>
      <w:r>
        <w:rPr>
          <w:rFonts w:ascii="Times New Roman" w:eastAsia="仿宋_GB2312" w:hAnsi="Times New Roman"/>
          <w:sz w:val="32"/>
          <w:szCs w:val="32"/>
        </w:rPr>
        <w:t>按年度进行。对于年中招标后更换委托经办机构的，可在当年度年终进行考核清算。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第十</w:t>
      </w:r>
      <w:r>
        <w:rPr>
          <w:rFonts w:ascii="黑体" w:eastAsia="黑体"/>
          <w:sz w:val="32"/>
          <w:szCs w:val="32"/>
        </w:rPr>
        <w:t>七</w:t>
      </w:r>
      <w:r>
        <w:rPr>
          <w:rFonts w:ascii="黑体" w:eastAsia="黑体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保经办机构</w:t>
      </w:r>
      <w:r>
        <w:rPr>
          <w:rFonts w:eastAsia="仿宋_GB2312"/>
          <w:sz w:val="32"/>
          <w:szCs w:val="32"/>
        </w:rPr>
        <w:t>对于考核清算过程要切实做好档案归档工作，相关资料要妥善保管。</w:t>
      </w:r>
    </w:p>
    <w:p w:rsidR="00364046" w:rsidRDefault="00364046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364046" w:rsidRDefault="00AC3411">
      <w:pPr>
        <w:spacing w:line="560" w:lineRule="exact"/>
        <w:ind w:firstLineChars="700" w:firstLine="22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第四章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结果和应用</w:t>
      </w:r>
    </w:p>
    <w:p w:rsidR="00364046" w:rsidRDefault="00364046">
      <w:pPr>
        <w:spacing w:line="560" w:lineRule="exact"/>
        <w:ind w:firstLineChars="700" w:firstLine="2240"/>
        <w:jc w:val="left"/>
        <w:rPr>
          <w:rFonts w:ascii="Times New Roman" w:eastAsia="仿宋_GB2312" w:hAnsi="Times New Roman"/>
          <w:sz w:val="32"/>
          <w:szCs w:val="32"/>
        </w:rPr>
      </w:pPr>
    </w:p>
    <w:p w:rsidR="00364046" w:rsidRDefault="00AC341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 xml:space="preserve">    </w:t>
      </w:r>
      <w:r>
        <w:rPr>
          <w:rFonts w:ascii="黑体" w:eastAsia="黑体" w:hAnsi="Times New Roman" w:hint="eastAsia"/>
          <w:bCs/>
          <w:sz w:val="32"/>
          <w:szCs w:val="32"/>
        </w:rPr>
        <w:t>第十</w:t>
      </w:r>
      <w:r>
        <w:rPr>
          <w:rFonts w:ascii="黑体" w:eastAsia="黑体" w:hint="eastAsia"/>
          <w:bCs/>
          <w:sz w:val="32"/>
          <w:szCs w:val="32"/>
        </w:rPr>
        <w:t>八</w:t>
      </w:r>
      <w:r>
        <w:rPr>
          <w:rFonts w:ascii="黑体" w:eastAsia="黑体" w:hAnsi="Times New Roman" w:hint="eastAsia"/>
          <w:bCs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各委托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经办机构的考核清算结果与其委托</w:t>
      </w:r>
      <w:r>
        <w:rPr>
          <w:rFonts w:eastAsia="仿宋_GB2312"/>
          <w:sz w:val="32"/>
          <w:szCs w:val="32"/>
        </w:rPr>
        <w:t>经办服务费</w:t>
      </w:r>
      <w:r>
        <w:rPr>
          <w:rFonts w:ascii="Times New Roman" w:eastAsia="仿宋_GB2312" w:hAnsi="Times New Roman"/>
          <w:sz w:val="32"/>
          <w:szCs w:val="32"/>
        </w:rPr>
        <w:t>拨付挂钩，具体</w:t>
      </w:r>
      <w:r>
        <w:rPr>
          <w:rFonts w:eastAsia="仿宋_GB2312"/>
          <w:sz w:val="32"/>
          <w:szCs w:val="32"/>
        </w:rPr>
        <w:t>在服务协议中</w:t>
      </w:r>
      <w:r>
        <w:rPr>
          <w:rFonts w:ascii="Times New Roman" w:eastAsia="仿宋_GB2312" w:hAnsi="Times New Roman"/>
          <w:sz w:val="32"/>
          <w:szCs w:val="32"/>
        </w:rPr>
        <w:t>予以明确。考核结果直接通报委托经办机构天津分公司及总公司</w:t>
      </w:r>
      <w:r>
        <w:rPr>
          <w:rFonts w:eastAsia="仿宋_GB2312"/>
          <w:sz w:val="32"/>
          <w:szCs w:val="32"/>
        </w:rPr>
        <w:t>、相关委办局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64046" w:rsidRDefault="00AC341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 xml:space="preserve">    </w:t>
      </w:r>
      <w:r>
        <w:rPr>
          <w:rFonts w:ascii="黑体" w:eastAsia="黑体" w:hint="eastAsia"/>
          <w:bCs/>
          <w:sz w:val="32"/>
          <w:szCs w:val="32"/>
        </w:rPr>
        <w:t>第十九条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委托经办机构及其工作</w:t>
      </w:r>
      <w:r>
        <w:rPr>
          <w:rFonts w:ascii="Times New Roman" w:eastAsia="仿宋_GB2312" w:hAnsi="Times New Roman"/>
          <w:sz w:val="32"/>
          <w:szCs w:val="32"/>
        </w:rPr>
        <w:t>人员出现重大违规违法事件，纳入巡视、审计、纪检、公安、银保监督等部门有关报告事项且造成基金损失的，从委托经办服务费中扣除。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</w:t>
      </w:r>
      <w:r>
        <w:rPr>
          <w:rFonts w:ascii="黑体" w:eastAsia="黑体"/>
          <w:bCs/>
          <w:sz w:val="32"/>
          <w:szCs w:val="32"/>
        </w:rPr>
        <w:t>二十</w:t>
      </w:r>
      <w:r>
        <w:rPr>
          <w:rFonts w:ascii="黑体" w:eastAsia="黑体" w:hAnsi="Times New Roman" w:hint="eastAsia"/>
          <w:bCs/>
          <w:sz w:val="32"/>
          <w:szCs w:val="32"/>
        </w:rPr>
        <w:t>条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对于因考核清算结果较差，影响委托经办实效的，市</w:t>
      </w:r>
      <w:proofErr w:type="gramStart"/>
      <w:r>
        <w:rPr>
          <w:rFonts w:ascii="Times New Roman" w:eastAsia="仿宋_GB2312"/>
          <w:sz w:val="32"/>
          <w:szCs w:val="32"/>
        </w:rPr>
        <w:t>医</w:t>
      </w:r>
      <w:proofErr w:type="gramEnd"/>
      <w:r>
        <w:rPr>
          <w:rFonts w:ascii="Times New Roman" w:eastAsia="仿宋_GB2312"/>
          <w:sz w:val="32"/>
          <w:szCs w:val="32"/>
        </w:rPr>
        <w:t>保经办机构可以采取约谈、</w:t>
      </w:r>
      <w:r>
        <w:rPr>
          <w:rFonts w:ascii="Times New Roman" w:eastAsia="仿宋_GB2312"/>
          <w:sz w:val="32"/>
          <w:szCs w:val="32"/>
        </w:rPr>
        <w:t>责令限期整改</w:t>
      </w:r>
      <w:r>
        <w:rPr>
          <w:rFonts w:ascii="Times New Roman" w:eastAsia="仿宋_GB2312"/>
          <w:sz w:val="32"/>
          <w:szCs w:val="32"/>
        </w:rPr>
        <w:t>等措施督促提高服务质量。对于</w:t>
      </w:r>
      <w:r>
        <w:rPr>
          <w:rFonts w:eastAsia="仿宋_GB2312"/>
          <w:sz w:val="32"/>
          <w:szCs w:val="32"/>
        </w:rPr>
        <w:t>严重违法服务协议约定的，应</w:t>
      </w:r>
      <w:r>
        <w:rPr>
          <w:rFonts w:ascii="Times New Roman" w:eastAsia="仿宋_GB2312"/>
          <w:sz w:val="32"/>
          <w:szCs w:val="32"/>
        </w:rPr>
        <w:t>终止合作协议，并建议行业主管部门统筹考虑纳入保险行业风险评级考核、失信惩戒范畴</w:t>
      </w:r>
      <w:r>
        <w:rPr>
          <w:rFonts w:eastAsia="仿宋_GB2312"/>
          <w:sz w:val="32"/>
          <w:szCs w:val="32"/>
        </w:rPr>
        <w:t>。</w:t>
      </w:r>
    </w:p>
    <w:p w:rsidR="00364046" w:rsidRDefault="00AC341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第二十一条</w:t>
      </w:r>
      <w:r>
        <w:rPr>
          <w:rFonts w:ascii="黑体" w:eastAsia="黑体"/>
          <w:bCs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各委托</w:t>
      </w:r>
      <w:proofErr w:type="gramEnd"/>
      <w:r>
        <w:rPr>
          <w:rFonts w:ascii="Times New Roman" w:eastAsia="仿宋_GB2312" w:hAnsi="Times New Roman"/>
          <w:sz w:val="32"/>
          <w:szCs w:val="32"/>
        </w:rPr>
        <w:t>经办机构</w:t>
      </w:r>
      <w:r>
        <w:rPr>
          <w:rFonts w:ascii="Times New Roman" w:eastAsia="仿宋_GB2312" w:hAnsi="Times New Roman"/>
          <w:sz w:val="32"/>
          <w:szCs w:val="32"/>
        </w:rPr>
        <w:t>应制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定长护险工作人员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管理制度，并报送至市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保经办机构。委托经办</w:t>
      </w:r>
      <w:r>
        <w:rPr>
          <w:rFonts w:ascii="Times New Roman" w:eastAsia="仿宋_GB2312" w:hAnsi="Times New Roman"/>
          <w:sz w:val="32"/>
          <w:szCs w:val="32"/>
        </w:rPr>
        <w:t>应将考核结果</w:t>
      </w:r>
      <w:r>
        <w:rPr>
          <w:rFonts w:ascii="Times New Roman" w:eastAsia="仿宋_GB2312" w:hAnsi="Times New Roman"/>
          <w:sz w:val="32"/>
          <w:szCs w:val="32"/>
        </w:rPr>
        <w:t>作为工作人员工资薪酬、任职和评先评优</w:t>
      </w:r>
      <w:r>
        <w:rPr>
          <w:rFonts w:ascii="Times New Roman" w:eastAsia="仿宋_GB2312" w:hAnsi="Times New Roman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考虑因素</w:t>
      </w:r>
      <w:r>
        <w:rPr>
          <w:rFonts w:ascii="Times New Roman" w:eastAsia="仿宋_GB2312" w:hAnsi="Times New Roman"/>
          <w:sz w:val="32"/>
          <w:szCs w:val="32"/>
        </w:rPr>
        <w:t>。因重大违法违规造成基金损失和恶劣影响，委托经办机构应按内部规定对工作人员和主管人员予以严肃处理、追责问责。</w:t>
      </w:r>
    </w:p>
    <w:p w:rsidR="00364046" w:rsidRDefault="0036404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64046" w:rsidRDefault="00AC3411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第五章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附则</w:t>
      </w:r>
    </w:p>
    <w:p w:rsidR="00364046" w:rsidRDefault="00364046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364046" w:rsidRDefault="00AC3411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第二十</w:t>
      </w:r>
      <w:r>
        <w:rPr>
          <w:rFonts w:ascii="黑体" w:eastAsia="黑体"/>
          <w:bCs/>
          <w:sz w:val="32"/>
          <w:szCs w:val="32"/>
        </w:rPr>
        <w:t>二</w:t>
      </w:r>
      <w:r>
        <w:rPr>
          <w:rFonts w:ascii="黑体" w:eastAsia="黑体" w:hAnsi="Times New Roman" w:hint="eastAsia"/>
          <w:bCs/>
          <w:sz w:val="32"/>
          <w:szCs w:val="32"/>
        </w:rPr>
        <w:t>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本办法由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医疗保障行政部门负责解释。</w:t>
      </w:r>
    </w:p>
    <w:p w:rsidR="00364046" w:rsidRDefault="00AC3411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第二十</w:t>
      </w:r>
      <w:r>
        <w:rPr>
          <w:rFonts w:ascii="黑体" w:eastAsia="黑体"/>
          <w:bCs/>
          <w:sz w:val="32"/>
          <w:szCs w:val="32"/>
        </w:rPr>
        <w:t>三</w:t>
      </w:r>
      <w:r>
        <w:rPr>
          <w:rFonts w:ascii="黑体" w:eastAsia="黑体" w:hAnsi="Times New Roman" w:hint="eastAsia"/>
          <w:bCs/>
          <w:sz w:val="32"/>
          <w:szCs w:val="32"/>
        </w:rPr>
        <w:t>条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本办法自</w:t>
      </w:r>
      <w:r>
        <w:rPr>
          <w:rFonts w:ascii="Times New Roman" w:eastAsia="仿宋_GB2312" w:hAnsi="Times New Roman"/>
          <w:sz w:val="32"/>
          <w:szCs w:val="32"/>
        </w:rPr>
        <w:t>印发之日</w:t>
      </w:r>
      <w:r>
        <w:rPr>
          <w:rFonts w:ascii="Times New Roman" w:eastAsia="仿宋_GB2312" w:hAnsi="Times New Roman"/>
          <w:sz w:val="32"/>
          <w:szCs w:val="32"/>
        </w:rPr>
        <w:t>起</w:t>
      </w:r>
      <w:r>
        <w:rPr>
          <w:rFonts w:ascii="Times New Roman" w:eastAsia="仿宋_GB2312" w:hAnsi="Times New Roman"/>
          <w:sz w:val="32"/>
          <w:szCs w:val="32"/>
        </w:rPr>
        <w:t>施行</w:t>
      </w:r>
      <w:r>
        <w:rPr>
          <w:rFonts w:ascii="Times New Roman" w:eastAsia="仿宋_GB2312" w:hAnsi="Times New Roman"/>
          <w:sz w:val="32"/>
          <w:szCs w:val="32"/>
        </w:rPr>
        <w:t>，有效期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年。</w:t>
      </w:r>
      <w:r>
        <w:rPr>
          <w:rFonts w:eastAsia="仿宋_GB2312"/>
          <w:sz w:val="32"/>
          <w:szCs w:val="32"/>
        </w:rPr>
        <w:t>《市医保局关于印发</w:t>
      </w:r>
      <w:r>
        <w:rPr>
          <w:rFonts w:eastAsia="仿宋_GB2312"/>
          <w:sz w:val="32"/>
          <w:szCs w:val="32"/>
        </w:rPr>
        <w:t>&lt;</w:t>
      </w:r>
      <w:r>
        <w:rPr>
          <w:rFonts w:eastAsia="仿宋_GB2312" w:hint="eastAsia"/>
          <w:sz w:val="32"/>
          <w:szCs w:val="32"/>
        </w:rPr>
        <w:t>天津市长期护理保险委托经办机构考核清算办法</w:t>
      </w:r>
      <w:r>
        <w:rPr>
          <w:rFonts w:eastAsia="仿宋_GB2312"/>
          <w:sz w:val="32"/>
          <w:szCs w:val="32"/>
        </w:rPr>
        <w:t>（施行）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  <w:sz w:val="32"/>
          <w:szCs w:val="32"/>
        </w:rPr>
        <w:t>的通知</w:t>
      </w:r>
      <w:r>
        <w:rPr>
          <w:rFonts w:eastAsia="仿宋_GB2312"/>
          <w:sz w:val="32"/>
          <w:szCs w:val="32"/>
        </w:rPr>
        <w:t>》（</w:t>
      </w:r>
      <w:r>
        <w:rPr>
          <w:rFonts w:eastAsia="仿宋_GB2312" w:hint="eastAsia"/>
          <w:sz w:val="32"/>
          <w:szCs w:val="32"/>
        </w:rPr>
        <w:t>津</w:t>
      </w:r>
      <w:proofErr w:type="gramStart"/>
      <w:r>
        <w:rPr>
          <w:rFonts w:eastAsia="仿宋_GB2312" w:hint="eastAsia"/>
          <w:sz w:val="32"/>
          <w:szCs w:val="32"/>
        </w:rPr>
        <w:t>医</w:t>
      </w:r>
      <w:proofErr w:type="gramEnd"/>
      <w:r>
        <w:rPr>
          <w:rFonts w:eastAsia="仿宋_GB2312" w:hint="eastAsia"/>
          <w:sz w:val="32"/>
          <w:szCs w:val="32"/>
        </w:rPr>
        <w:t>保</w:t>
      </w:r>
      <w:r>
        <w:rPr>
          <w:rFonts w:eastAsia="仿宋_GB2312"/>
          <w:sz w:val="32"/>
          <w:szCs w:val="32"/>
        </w:rPr>
        <w:t>局发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）废止。</w:t>
      </w:r>
    </w:p>
    <w:p w:rsidR="00364046" w:rsidRDefault="00364046">
      <w:pPr>
        <w:spacing w:line="600" w:lineRule="exact"/>
      </w:pPr>
    </w:p>
    <w:p w:rsidR="00364046" w:rsidRDefault="00AC3411">
      <w:pPr>
        <w:spacing w:line="600" w:lineRule="exact"/>
        <w:ind w:firstLineChars="200" w:firstLine="88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说明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</w:p>
    <w:p w:rsidR="00364046" w:rsidRDefault="00364046">
      <w:pPr>
        <w:pStyle w:val="a0"/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</w:p>
    <w:p w:rsidR="00364046" w:rsidRDefault="00AC3411">
      <w:pPr>
        <w:pStyle w:val="a0"/>
        <w:spacing w:line="60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现就《天津市长期护理保险委托经办机构考核清算办法》（以下简称《办法》）起草情况汇报如下：</w:t>
      </w:r>
    </w:p>
    <w:p w:rsidR="00364046" w:rsidRDefault="00AC341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一、政策背景和起草过程</w:t>
      </w:r>
    </w:p>
    <w:p w:rsidR="00364046" w:rsidRDefault="00AC3411">
      <w:pPr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月，我局印发《天津市长期护理保险委托经办机构考核清算办法（试行）》（津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保局发</w:t>
      </w:r>
      <w:r>
        <w:rPr>
          <w:rFonts w:ascii="Times New Roman" w:eastAsia="华文仿宋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华文仿宋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。根据上述文件规定，市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保中心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年初组织开展了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-2022</w:t>
      </w:r>
      <w:r>
        <w:rPr>
          <w:rFonts w:ascii="Times New Roman" w:eastAsia="仿宋_GB2312" w:hAnsi="Times New Roman"/>
          <w:sz w:val="32"/>
          <w:szCs w:val="32"/>
        </w:rPr>
        <w:t>年度考核清算工作，进一步压实了委托经办机构责任，提升委托经办服务水平，提高管理服务效能。</w:t>
      </w:r>
    </w:p>
    <w:p w:rsidR="00364046" w:rsidRDefault="00AC341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本次研究起草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《办法》，对老文件进一步修订完善，主要考虑有两个方面：</w:t>
      </w:r>
      <w:r>
        <w:rPr>
          <w:rFonts w:ascii="楷体_GB2312" w:eastAsia="楷体_GB2312" w:hAnsi="楷体_GB2312" w:cs="楷体_GB2312" w:hint="eastAsia"/>
          <w:sz w:val="32"/>
          <w:szCs w:val="32"/>
        </w:rPr>
        <w:t>一是</w:t>
      </w:r>
      <w:r>
        <w:rPr>
          <w:rFonts w:ascii="楷体_GB2312" w:eastAsia="楷体_GB2312" w:hAnsi="楷体_GB2312" w:cs="楷体_GB2312"/>
          <w:sz w:val="32"/>
          <w:szCs w:val="32"/>
        </w:rPr>
        <w:t>委托经办形式</w:t>
      </w:r>
      <w:r>
        <w:rPr>
          <w:rFonts w:ascii="楷体_GB2312" w:eastAsia="楷体_GB2312" w:hAnsi="楷体_GB2312" w:cs="楷体_GB2312" w:hint="eastAsia"/>
          <w:sz w:val="32"/>
          <w:szCs w:val="32"/>
        </w:rPr>
        <w:t>发生变化</w:t>
      </w:r>
      <w:r>
        <w:rPr>
          <w:rFonts w:ascii="楷体_GB2312" w:eastAsia="楷体_GB2312" w:hAnsi="楷体_GB2312" w:cs="楷体_GB2312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委托经办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由“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主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副</w:t>
      </w:r>
      <w:r>
        <w:rPr>
          <w:rFonts w:ascii="仿宋_GB2312" w:eastAsia="仿宋_GB2312" w:hAnsi="仿宋_GB2312" w:cs="仿宋_GB2312" w:hint="eastAsia"/>
          <w:sz w:val="32"/>
          <w:szCs w:val="32"/>
        </w:rPr>
        <w:t>”三个片区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家商保公司经办调整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家</w:t>
      </w:r>
      <w:r>
        <w:rPr>
          <w:rFonts w:ascii="Times New Roman" w:eastAsia="仿宋_GB2312" w:hAnsi="Times New Roman" w:hint="eastAsia"/>
          <w:sz w:val="32"/>
          <w:szCs w:val="32"/>
        </w:rPr>
        <w:t>商保公司独</w:t>
      </w:r>
      <w:r>
        <w:rPr>
          <w:rFonts w:ascii="仿宋_GB2312" w:eastAsia="仿宋_GB2312" w:hAnsi="仿宋_GB2312" w:cs="仿宋_GB2312" w:hint="eastAsia"/>
          <w:sz w:val="32"/>
          <w:szCs w:val="32"/>
        </w:rPr>
        <w:t>立按片区经办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，考核</w:t>
      </w:r>
      <w:r>
        <w:rPr>
          <w:rFonts w:ascii="仿宋_GB2312" w:eastAsia="仿宋_GB2312" w:hAnsi="仿宋_GB2312" w:cs="仿宋_GB2312"/>
          <w:sz w:val="32"/>
          <w:szCs w:val="32"/>
        </w:rPr>
        <w:t>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也随之发生变化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二是</w:t>
      </w:r>
      <w:r>
        <w:rPr>
          <w:rFonts w:ascii="楷体_GB2312" w:eastAsia="楷体_GB2312" w:hAnsi="楷体_GB2312" w:cs="楷体_GB2312"/>
          <w:sz w:val="32"/>
          <w:szCs w:val="32"/>
        </w:rPr>
        <w:t>考核清算指标亟需完善。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试点初期，在政策层面明确了</w:t>
      </w:r>
      <w:r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项考核指标，相对固定且不支持经办层面根据实际情况动态调整，难以全面科学的考核评估委托经办工作情况。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综上，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我们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修订起草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了《办法》。</w:t>
      </w:r>
    </w:p>
    <w:p w:rsidR="00364046" w:rsidRDefault="00AC341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二、《办法》主要内容</w:t>
      </w:r>
    </w:p>
    <w:p w:rsidR="00364046" w:rsidRDefault="00AC3411">
      <w:pPr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《办法》共五章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主要内容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及对现行政策调整情况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如下：</w:t>
      </w:r>
    </w:p>
    <w:p w:rsidR="00364046" w:rsidRDefault="00AC3411">
      <w:pPr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一是</w:t>
      </w:r>
      <w:r>
        <w:rPr>
          <w:rFonts w:ascii="楷体_GB2312" w:eastAsia="楷体_GB2312" w:hAnsi="楷体_GB2312" w:cs="楷体_GB2312" w:hint="eastAsia"/>
          <w:sz w:val="32"/>
          <w:szCs w:val="32"/>
        </w:rPr>
        <w:t>明确了考核清算总体要求。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主要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明确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《办法》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制定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目的、适用范围、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实施原则和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职责分工（第一条至第四条）。</w:t>
      </w:r>
    </w:p>
    <w:p w:rsidR="00364046" w:rsidRDefault="00AC3411">
      <w:pPr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二是完善了</w:t>
      </w:r>
      <w:r>
        <w:rPr>
          <w:rFonts w:ascii="楷体_GB2312" w:eastAsia="楷体_GB2312" w:hAnsi="楷体_GB2312" w:cs="楷体_GB2312" w:hint="eastAsia"/>
          <w:sz w:val="32"/>
          <w:szCs w:val="32"/>
        </w:rPr>
        <w:t>考核清算内容</w:t>
      </w:r>
      <w:r>
        <w:rPr>
          <w:rFonts w:ascii="楷体_GB2312" w:eastAsia="楷体_GB2312" w:hAnsi="楷体_GB2312" w:cs="楷体_GB2312" w:hint="eastAsia"/>
          <w:sz w:val="32"/>
          <w:szCs w:val="32"/>
        </w:rPr>
        <w:t>和指标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明确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考核内容包括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内部制度建设及执行情况、经办管理和服务能力情况、信息管理情况、基金管理情况、风险防控情况、投标承诺兑现情况等方面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（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第五条至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第十一条）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主要调整如下：</w:t>
      </w:r>
      <w:r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  <w:t>一是</w:t>
      </w:r>
      <w:r>
        <w:rPr>
          <w:rFonts w:ascii="Times New Roman Regular" w:eastAsia="仿宋_GB2312" w:hAnsi="Times New Roman Regular" w:cs="Times New Roman Regular" w:hint="eastAsia"/>
          <w:b/>
          <w:bCs/>
          <w:sz w:val="32"/>
          <w:szCs w:val="32"/>
        </w:rPr>
        <w:t>完善</w:t>
      </w:r>
      <w:r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  <w:t>考核</w:t>
      </w:r>
      <w:r>
        <w:rPr>
          <w:rFonts w:ascii="Times New Roman Regular" w:eastAsia="仿宋_GB2312" w:hAnsi="Times New Roman Regular" w:cs="Times New Roman Regular" w:hint="eastAsia"/>
          <w:b/>
          <w:bCs/>
          <w:sz w:val="32"/>
          <w:szCs w:val="32"/>
        </w:rPr>
        <w:t>指标</w:t>
      </w:r>
      <w:r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在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经办管理和服务能力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考核中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增加质控投诉、组织管理、综合指标等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指标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内容，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并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细化投标承诺兑现情况考核指标。</w:t>
      </w:r>
      <w:r>
        <w:rPr>
          <w:rFonts w:ascii="Times New Roman Regular" w:eastAsia="仿宋_GB2312" w:hAnsi="Times New Roman Regular" w:cs="Times New Roman Regular" w:hint="eastAsia"/>
          <w:b/>
          <w:bCs/>
          <w:sz w:val="32"/>
          <w:szCs w:val="32"/>
        </w:rPr>
        <w:t>二是</w:t>
      </w:r>
      <w:r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  <w:t>下放了指标确定权限。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不再从政策层面固化考核指标，调整为由经办机构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细化项目指标和权重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，确保更符合考核工作实际，做到</w:t>
      </w:r>
      <w:r>
        <w:rPr>
          <w:rFonts w:ascii="仿宋_GB2312" w:eastAsia="仿宋_GB2312" w:cs="仿宋_GB2312"/>
          <w:sz w:val="32"/>
          <w:szCs w:val="32"/>
        </w:rPr>
        <w:t>客观、真实、全面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</w:t>
      </w:r>
    </w:p>
    <w:p w:rsidR="00364046" w:rsidRDefault="00AC34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三是优化了</w:t>
      </w:r>
      <w:r>
        <w:rPr>
          <w:rFonts w:ascii="楷体_GB2312" w:eastAsia="楷体_GB2312" w:hAnsi="楷体_GB2312" w:cs="楷体_GB2312" w:hint="eastAsia"/>
          <w:sz w:val="32"/>
          <w:szCs w:val="32"/>
        </w:rPr>
        <w:t>考核清算的方法和程序。</w:t>
      </w:r>
      <w:r>
        <w:rPr>
          <w:rFonts w:ascii="仿宋_GB2312" w:eastAsia="仿宋_GB2312" w:cs="仿宋_GB2312"/>
          <w:sz w:val="32"/>
          <w:szCs w:val="32"/>
        </w:rPr>
        <w:t>主要是明确了考核清算的组织方式（</w:t>
      </w:r>
      <w:r>
        <w:rPr>
          <w:rFonts w:ascii="仿宋_GB2312" w:eastAsia="仿宋_GB2312" w:cs="仿宋_GB2312" w:hint="eastAsia"/>
          <w:sz w:val="32"/>
          <w:szCs w:val="32"/>
        </w:rPr>
        <w:t>第十三条</w:t>
      </w:r>
      <w:r>
        <w:rPr>
          <w:rFonts w:ascii="仿宋_GB2312" w:eastAsia="仿宋_GB2312" w:cs="仿宋_GB2312"/>
          <w:sz w:val="32"/>
          <w:szCs w:val="32"/>
        </w:rPr>
        <w:t>）、考核对象和计分方式（第十四条）、</w:t>
      </w:r>
      <w:r>
        <w:rPr>
          <w:rFonts w:ascii="仿宋_GB2312" w:eastAsia="仿宋_GB2312" w:cs="仿宋_GB2312" w:hint="eastAsia"/>
          <w:sz w:val="32"/>
          <w:szCs w:val="32"/>
        </w:rPr>
        <w:t>指标和权重</w:t>
      </w: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第十</w:t>
      </w:r>
      <w:r>
        <w:rPr>
          <w:rFonts w:ascii="仿宋_GB2312" w:eastAsia="仿宋_GB2312" w:cs="仿宋_GB2312"/>
          <w:sz w:val="32"/>
          <w:szCs w:val="32"/>
        </w:rPr>
        <w:t>五</w:t>
      </w:r>
      <w:r>
        <w:rPr>
          <w:rFonts w:ascii="仿宋_GB2312" w:eastAsia="仿宋_GB2312" w:cs="仿宋_GB2312" w:hint="eastAsia"/>
          <w:sz w:val="32"/>
          <w:szCs w:val="32"/>
        </w:rPr>
        <w:t>条</w:t>
      </w:r>
      <w:r>
        <w:rPr>
          <w:rFonts w:ascii="仿宋_GB2312" w:eastAsia="仿宋_GB2312" w:cs="仿宋_GB2312"/>
          <w:sz w:val="32"/>
          <w:szCs w:val="32"/>
        </w:rPr>
        <w:t>）、考核周期（第十六条）和档案管理（十七条）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主要调整：一是将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/>
          <w:sz w:val="32"/>
          <w:szCs w:val="32"/>
        </w:rPr>
        <w:t>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主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副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共保体组成的考核单位调整为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家</w:t>
      </w:r>
      <w:r>
        <w:rPr>
          <w:rFonts w:ascii="Times New Roman" w:eastAsia="仿宋_GB2312" w:hAnsi="Times New Roman" w:hint="eastAsia"/>
          <w:sz w:val="32"/>
          <w:szCs w:val="32"/>
        </w:rPr>
        <w:t>商保公司独</w:t>
      </w:r>
      <w:r>
        <w:rPr>
          <w:rFonts w:ascii="仿宋_GB2312" w:eastAsia="仿宋_GB2312" w:hAnsi="仿宋_GB2312" w:cs="仿宋_GB2312" w:hint="eastAsia"/>
          <w:sz w:val="32"/>
          <w:szCs w:val="32"/>
        </w:rPr>
        <w:t>立</w:t>
      </w:r>
      <w:r>
        <w:rPr>
          <w:rFonts w:ascii="仿宋_GB2312" w:eastAsia="仿宋_GB2312" w:hAnsi="仿宋_GB2312" w:cs="仿宋_GB2312"/>
          <w:sz w:val="32"/>
          <w:szCs w:val="32"/>
        </w:rPr>
        <w:t>考核。二是明确考核清算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按照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机构自查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、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实地考察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和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考核评议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进行，具体由经办机构组织实施。</w:t>
      </w:r>
    </w:p>
    <w:p w:rsidR="00364046" w:rsidRDefault="00AC341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四是</w:t>
      </w:r>
      <w:r>
        <w:rPr>
          <w:rFonts w:ascii="楷体_GB2312" w:eastAsia="楷体_GB2312" w:hAnsi="楷体_GB2312" w:cs="楷体_GB2312" w:hint="eastAsia"/>
          <w:sz w:val="32"/>
          <w:szCs w:val="32"/>
        </w:rPr>
        <w:t>明确了考核清算的</w:t>
      </w:r>
      <w:r>
        <w:rPr>
          <w:rFonts w:ascii="楷体_GB2312" w:eastAsia="楷体_GB2312" w:hAnsi="楷体_GB2312" w:cs="楷体_GB2312" w:hint="eastAsia"/>
          <w:sz w:val="32"/>
          <w:szCs w:val="32"/>
        </w:rPr>
        <w:t>结果和应用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主要明确了考核结果与经办服务费挂钩方式（第十八条）、出现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重大违规违法事件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处理办法（十九条）、</w:t>
      </w:r>
      <w:r>
        <w:rPr>
          <w:rFonts w:ascii="Times New Roman" w:eastAsia="仿宋_GB2312"/>
          <w:sz w:val="32"/>
          <w:szCs w:val="32"/>
        </w:rPr>
        <w:t>约谈</w:t>
      </w:r>
      <w:r>
        <w:rPr>
          <w:rFonts w:ascii="Times New Roman" w:eastAsia="仿宋_GB2312"/>
          <w:sz w:val="32"/>
          <w:szCs w:val="32"/>
        </w:rPr>
        <w:t>整改</w:t>
      </w:r>
      <w:r>
        <w:rPr>
          <w:rFonts w:ascii="Times New Roman" w:eastAsia="仿宋_GB2312"/>
          <w:sz w:val="32"/>
          <w:szCs w:val="32"/>
        </w:rPr>
        <w:t>措施（第二十条）、委托经办机构考核结果内部应用办法（第二十一条）</w:t>
      </w:r>
      <w:r>
        <w:rPr>
          <w:rFonts w:eastAsia="仿宋_GB2312"/>
          <w:sz w:val="32"/>
          <w:szCs w:val="32"/>
        </w:rPr>
        <w:t>。</w:t>
      </w:r>
    </w:p>
    <w:p w:rsidR="00364046" w:rsidRDefault="00AC3411">
      <w:pPr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五是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明确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了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《办法》的解释部门和实施期限（第二十二条、第二十三条）。</w:t>
      </w:r>
    </w:p>
    <w:p w:rsidR="00364046" w:rsidRDefault="00364046">
      <w:pPr>
        <w:spacing w:line="60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:rsidR="00364046" w:rsidRDefault="00364046"/>
    <w:sectPr w:rsidR="003640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Arial"/>
    <w:charset w:val="00"/>
    <w:family w:val="auto"/>
    <w:pitch w:val="default"/>
    <w:sig w:usb0="00000000" w:usb1="00000000" w:usb2="00000009" w:usb3="00000000" w:csb0="400001FF" w:csb1="FFFF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569C5"/>
    <w:multiLevelType w:val="singleLevel"/>
    <w:tmpl w:val="3D9569C5"/>
    <w:lvl w:ilvl="0">
      <w:start w:val="2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5F9E4F6D"/>
    <w:multiLevelType w:val="singleLevel"/>
    <w:tmpl w:val="5F9E4F6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E517A0"/>
    <w:rsid w:val="001B454C"/>
    <w:rsid w:val="003507AA"/>
    <w:rsid w:val="00364046"/>
    <w:rsid w:val="00AC3411"/>
    <w:rsid w:val="3EBDE7D9"/>
    <w:rsid w:val="6CE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8D7A7"/>
  <w15:docId w15:val="{E8A5409D-8768-477B-984C-F361A89B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3187</Words>
  <Characters>260</Characters>
  <Application>Microsoft Office Word</Application>
  <DocSecurity>0</DocSecurity>
  <Lines>2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天津市医保局关于公开征求《天津市长期护理保险委托经办机构考核清算办法》</dc:title>
  <dc:creator>邓旭峰</dc:creator>
  <cp:lastModifiedBy>Tech-Winning</cp:lastModifiedBy>
  <cp:revision>4</cp:revision>
  <dcterms:created xsi:type="dcterms:W3CDTF">2024-05-24T19:03:00Z</dcterms:created>
  <dcterms:modified xsi:type="dcterms:W3CDTF">2024-05-27T01:30:00Z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