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关于对天津市河北区树君益民门诊部等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六家定点医疗机构医保违法违规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行为行政处理决定的公示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文星简小标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近日，市医保局依法对存在医保违法违规行为的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天津市河北区树君益民门诊部等六家定点医疗机构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予以行政处理，现将有关情况公示如下：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天津市河北区树君益民门诊部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zh-CN"/>
        </w:rPr>
        <w:t>存在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</w:rPr>
        <w:t>冒用基本医疗保险服务医师名义申报医疗费用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《中华人民共和国行政处罚法》第三十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条第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（一）项、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</w:rPr>
        <w:t>（七）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0029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罚款551795.65元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天津津萃智慧医院有限公司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zh-CN"/>
        </w:rPr>
        <w:t>存在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重复收费及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</w:rPr>
        <w:t>将不属于医疗保障基金支付范围的医药费用纳入医疗保障基金结算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肝素钠注射液、低分子量肝素钠注射液、依诺肝素钠注射液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梅毒螺旋体特异抗体测定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四个项目。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《中华人民共和国行政处罚法》第三十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条第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（一）项、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（三）、（六）项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0032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14697.81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天津河东斯坦姆眼科医院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存在重复收费、串换诊疗项目、将不属于医疗保障基金支付范围的医药费用纳入医疗保障基金结算、超仪器适用范围开展治疗项目造成医保基金损失的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zh-CN" w:eastAsia="zh-CN"/>
        </w:rPr>
        <w:t>《中华人民共和国行政处罚法》第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三十二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u w:val="none"/>
          <w:lang w:val="zh-CN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第（一）项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  <w:t>《医疗保障基金使用监督管理条例》第三十八条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第（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）、（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）、（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）、（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）项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0036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62726.26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天津北大医疗海洋石油医院有限公司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highlight w:val="none"/>
          <w:lang w:val="en-US" w:eastAsia="zh-CN"/>
        </w:rPr>
        <w:t>存在超标准收费、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串换诊疗项目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违规行为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依据《中华人民共和国行政处罚法》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第三十二条第（一）项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第（三）、（四）项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0026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3634.88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zh-CN" w:eastAsia="zh-CN"/>
        </w:rPr>
        <w:t>天津市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蓟州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zh-CN" w:eastAsia="zh-CN"/>
        </w:rPr>
        <w:t>区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zh-CN" w:eastAsia="zh-CN"/>
        </w:rPr>
        <w:t>医院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zh-CN"/>
        </w:rPr>
        <w:t>存在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/>
        </w:rPr>
        <w:t>超标准收费和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串换诊疗项目的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依据《中华人民共和国行政处罚法》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第三十二条第（一）项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第（三）、（四）项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0033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27584.07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zh-CN" w:eastAsia="zh-CN"/>
        </w:rPr>
        <w:t>天津市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儿童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zh-CN" w:eastAsia="zh-CN"/>
        </w:rPr>
        <w:t>医院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zh-CN"/>
        </w:rPr>
        <w:t>存在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超标准收费的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highlight w:val="none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highlight w:val="none"/>
        </w:rPr>
        <w:t>违规行为，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依据《中华人民共和国行政处罚法》第三十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第一款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第（三）项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0034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），退回医疗保险金。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49B4"/>
    <w:multiLevelType w:val="singleLevel"/>
    <w:tmpl w:val="406349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458FF"/>
    <w:rsid w:val="002B731B"/>
    <w:rsid w:val="00B215F7"/>
    <w:rsid w:val="01F3668D"/>
    <w:rsid w:val="033A3A1D"/>
    <w:rsid w:val="0402561C"/>
    <w:rsid w:val="05262734"/>
    <w:rsid w:val="087D483F"/>
    <w:rsid w:val="090C27F4"/>
    <w:rsid w:val="091F381D"/>
    <w:rsid w:val="09E07E6F"/>
    <w:rsid w:val="0A0F22A1"/>
    <w:rsid w:val="0C7D63BD"/>
    <w:rsid w:val="0D347DD8"/>
    <w:rsid w:val="0FFF5C1B"/>
    <w:rsid w:val="10B96393"/>
    <w:rsid w:val="11C96EDB"/>
    <w:rsid w:val="12930970"/>
    <w:rsid w:val="137739DC"/>
    <w:rsid w:val="140F562F"/>
    <w:rsid w:val="14B05DF3"/>
    <w:rsid w:val="14E76C28"/>
    <w:rsid w:val="153756AF"/>
    <w:rsid w:val="178E0EB3"/>
    <w:rsid w:val="17B60013"/>
    <w:rsid w:val="1A0C7BF6"/>
    <w:rsid w:val="1B73412E"/>
    <w:rsid w:val="1C886B85"/>
    <w:rsid w:val="1F4D68F3"/>
    <w:rsid w:val="209A5259"/>
    <w:rsid w:val="266C7C45"/>
    <w:rsid w:val="270A2646"/>
    <w:rsid w:val="27347966"/>
    <w:rsid w:val="29CF47D6"/>
    <w:rsid w:val="2BE214BB"/>
    <w:rsid w:val="2C5C54D1"/>
    <w:rsid w:val="2CAE0A25"/>
    <w:rsid w:val="2E5F4166"/>
    <w:rsid w:val="2E967E76"/>
    <w:rsid w:val="2FFD1F90"/>
    <w:rsid w:val="30047A96"/>
    <w:rsid w:val="32AB66C3"/>
    <w:rsid w:val="335075F0"/>
    <w:rsid w:val="357A59AB"/>
    <w:rsid w:val="36146DD4"/>
    <w:rsid w:val="37DFB53B"/>
    <w:rsid w:val="383F583E"/>
    <w:rsid w:val="38E478A9"/>
    <w:rsid w:val="3B6D6499"/>
    <w:rsid w:val="3DF60D3F"/>
    <w:rsid w:val="3F2769CA"/>
    <w:rsid w:val="3F2D0DAC"/>
    <w:rsid w:val="3FF302E7"/>
    <w:rsid w:val="3FF81D35"/>
    <w:rsid w:val="449D38CB"/>
    <w:rsid w:val="455C1898"/>
    <w:rsid w:val="47D12A57"/>
    <w:rsid w:val="484E4E00"/>
    <w:rsid w:val="4AEF0CA6"/>
    <w:rsid w:val="4AFA1DF5"/>
    <w:rsid w:val="4C776C89"/>
    <w:rsid w:val="4C897C88"/>
    <w:rsid w:val="4F2B6BC9"/>
    <w:rsid w:val="530458FF"/>
    <w:rsid w:val="53E476AC"/>
    <w:rsid w:val="56216B88"/>
    <w:rsid w:val="589318B2"/>
    <w:rsid w:val="5B905B0E"/>
    <w:rsid w:val="5D887B5D"/>
    <w:rsid w:val="5D9C1DE0"/>
    <w:rsid w:val="5E6E351F"/>
    <w:rsid w:val="60060186"/>
    <w:rsid w:val="602A400E"/>
    <w:rsid w:val="609A7570"/>
    <w:rsid w:val="618E7966"/>
    <w:rsid w:val="648A1C93"/>
    <w:rsid w:val="659E4086"/>
    <w:rsid w:val="65A92B74"/>
    <w:rsid w:val="666D12D6"/>
    <w:rsid w:val="66B334E6"/>
    <w:rsid w:val="68236B84"/>
    <w:rsid w:val="698374C5"/>
    <w:rsid w:val="6A346913"/>
    <w:rsid w:val="6BBA29A9"/>
    <w:rsid w:val="6C3727D2"/>
    <w:rsid w:val="6CCC1046"/>
    <w:rsid w:val="6D76487D"/>
    <w:rsid w:val="72196460"/>
    <w:rsid w:val="73455390"/>
    <w:rsid w:val="738F4CB5"/>
    <w:rsid w:val="74503345"/>
    <w:rsid w:val="774C2143"/>
    <w:rsid w:val="798D2E3E"/>
    <w:rsid w:val="7E0958E8"/>
    <w:rsid w:val="7E11535D"/>
    <w:rsid w:val="7EC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2024-04-03T17:41:00Z</dcterms:created>
  <dc:creator>法制宣传科</dc:creator>
  <cp:lastModifiedBy>法制宣传科</cp:lastModifiedBy>
  <cp:lastPrinted>2024-04-07T10:08:00Z</cp:lastPrinted>
  <dcterms:modified xsi:type="dcterms:W3CDTF">2024-04-07T03:19:34Z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