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关于对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CN" w:eastAsia="zh-CN"/>
        </w:rPr>
        <w:t>天津河东东苑医院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等六家定点医疗机构医保违法违规行为行政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处理决定的公示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文星简小标宋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8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近日，市医保局依法对存在医保违法违规行为的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天津河东东苑医院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等六家定点医疗机构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予以行政处理，现将有关情况公示如下：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zh-CN" w:eastAsia="zh-CN"/>
        </w:rPr>
        <w:t>天津河东东苑医院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highlight w:val="none"/>
          <w:lang w:val="en-US" w:eastAsia="zh-CN"/>
        </w:rPr>
        <w:t>存在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highlight w:val="none"/>
          <w:lang w:val="en-US" w:eastAsia="zh-CN"/>
        </w:rPr>
        <w:t>重复收费、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冒用基本医疗保险服务医师名义申报医疗费用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依据《中华人民共和国行政处罚法》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/>
        </w:rPr>
        <w:t>第三十二条第（一）项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、《医疗保障基金使用监督管理条例》第三十八条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）项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00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8100.03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仿宋_GB2312"/>
          <w:sz w:val="32"/>
          <w:szCs w:val="32"/>
        </w:rPr>
        <w:t>天津市北辰区小淀镇社区卫生服务中心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存在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串换诊疗项目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超标准收费的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highlight w:val="none"/>
          <w:lang w:eastAsia="zh-CN"/>
        </w:rPr>
        <w:t>违法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highlight w:val="none"/>
        </w:rPr>
        <w:t>违规行为，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依据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《中华人民共和国行政处罚法》第三十二条第（一）项、《医疗保障基金使用监督管理条例》第三十八条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）、（四）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CN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33179.63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76" w:leftChars="36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pacing w:val="-4"/>
          <w:kern w:val="0"/>
          <w:sz w:val="32"/>
          <w:szCs w:val="32"/>
          <w:lang w:val="zh-CN" w:eastAsia="zh-CN"/>
        </w:rPr>
        <w:t>三、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天津市北辰医院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 w:eastAsia="zh-CN"/>
        </w:rPr>
        <w:t>存在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超标准收费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串换诊疗项目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实际开展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的医保支付范围内的诊疗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项目与申报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的医保支付范围内诊疗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项目不符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）”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依据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《中华人民共和国行政处罚法》第三十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条第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（一）项、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《医疗保障基金使用监督管理条例》第三十八条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（三）、（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）项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罚款36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461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四、</w:t>
      </w:r>
      <w:r>
        <w:rPr>
          <w:rFonts w:hint="eastAsia" w:eastAsia="仿宋_GB2312"/>
          <w:bCs/>
          <w:spacing w:val="-4"/>
          <w:kern w:val="0"/>
          <w:sz w:val="32"/>
          <w:szCs w:val="32"/>
          <w:lang w:val="zh-CN"/>
        </w:rPr>
        <w:t>中国人民解放军联勤保障部队第九八三医院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存在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highlight w:val="none"/>
          <w:lang w:val="en-US" w:eastAsia="zh-CN"/>
        </w:rPr>
        <w:t>串换诊疗项目</w:t>
      </w:r>
      <w:r>
        <w:rPr>
          <w:rFonts w:hint="eastAsia" w:eastAsia="仿宋_GB2312" w:cs="Times New Roman"/>
          <w:color w:val="auto"/>
          <w:spacing w:val="-4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超标准收费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违法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违规行为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依据《中华人民共和国行政处罚法》第三十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（一）项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、《医疗保障基金使用监督管理条例》第三十八条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第（三）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、（四）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4481.55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五、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zh-CN"/>
        </w:rPr>
        <w:t>天津市职业病防治院（天津市工人医院）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存在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highlight w:val="none"/>
        </w:rPr>
        <w:t>串换诊疗项目</w:t>
      </w:r>
      <w:r>
        <w:rPr>
          <w:rFonts w:hint="eastAsia" w:eastAsia="仿宋_GB2312" w:cs="Times New Roman"/>
          <w:color w:val="auto"/>
          <w:spacing w:val="-4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超标准收费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重复收费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依据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zh-CN" w:eastAsia="zh-CN"/>
        </w:rPr>
        <w:t>《中华人民共和国行政处罚法》第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三十二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zh-CN" w:eastAsia="zh-CN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</w:rPr>
        <w:t>第（一）项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highlight w:val="none"/>
          <w:lang w:val="zh-CN"/>
        </w:rPr>
        <w:t>第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zh-CN"/>
        </w:rPr>
        <w:t>三十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highlight w:val="none"/>
          <w:lang w:val="zh-CN"/>
        </w:rPr>
        <w:t>条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zh-CN"/>
        </w:rPr>
        <w:t>第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一、二款、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《医疗保障基金使用监督管理条例》第三十八条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/>
        </w:rPr>
        <w:t>第（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/>
        </w:rPr>
        <w:t>）、（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/>
        </w:rPr>
        <w:t>）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/>
        </w:rPr>
        <w:t>项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zh-CN"/>
        </w:rPr>
        <w:t>9473.7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中国人民解放军联勤保障部队天津康复疗养中心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 w:eastAsia="zh-CN"/>
        </w:rPr>
        <w:t>存在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超标准收费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串换诊疗项目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实际开展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的医保支付范围内的诊疗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项目与申报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的医保支付范围内诊疗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项目不符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）”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依据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《中华人民共和国行政处罚法》第三十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条第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（一）项、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《医疗保障基金使用监督管理条例》第三十八条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（三）、（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）项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4057.69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numPr>
          <w:ilvl w:val="0"/>
          <w:numId w:val="0"/>
        </w:numPr>
        <w:ind w:leftChars="20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49B4"/>
    <w:multiLevelType w:val="singleLevel"/>
    <w:tmpl w:val="406349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458FF"/>
    <w:rsid w:val="002B731B"/>
    <w:rsid w:val="00B215F7"/>
    <w:rsid w:val="01F3668D"/>
    <w:rsid w:val="033A3A1D"/>
    <w:rsid w:val="0402561C"/>
    <w:rsid w:val="05262734"/>
    <w:rsid w:val="087D483F"/>
    <w:rsid w:val="090C27F4"/>
    <w:rsid w:val="091F381D"/>
    <w:rsid w:val="09E07E6F"/>
    <w:rsid w:val="0A0F22A1"/>
    <w:rsid w:val="0C7D63BD"/>
    <w:rsid w:val="0D347DD8"/>
    <w:rsid w:val="0FFF5C1B"/>
    <w:rsid w:val="10B96393"/>
    <w:rsid w:val="11C96EDB"/>
    <w:rsid w:val="12930970"/>
    <w:rsid w:val="137739DC"/>
    <w:rsid w:val="140F562F"/>
    <w:rsid w:val="14B05DF3"/>
    <w:rsid w:val="14E76C28"/>
    <w:rsid w:val="153756AF"/>
    <w:rsid w:val="178E0EB3"/>
    <w:rsid w:val="17B60013"/>
    <w:rsid w:val="1A0C7BF6"/>
    <w:rsid w:val="1B73412E"/>
    <w:rsid w:val="1C886B85"/>
    <w:rsid w:val="1F4D68F3"/>
    <w:rsid w:val="209A5259"/>
    <w:rsid w:val="266C7C45"/>
    <w:rsid w:val="270A2646"/>
    <w:rsid w:val="27347966"/>
    <w:rsid w:val="29CF47D6"/>
    <w:rsid w:val="2BE214BB"/>
    <w:rsid w:val="2C5C54D1"/>
    <w:rsid w:val="2CAE0A25"/>
    <w:rsid w:val="2E5F4166"/>
    <w:rsid w:val="2E967E76"/>
    <w:rsid w:val="2FFD1F90"/>
    <w:rsid w:val="30047A96"/>
    <w:rsid w:val="32AB66C3"/>
    <w:rsid w:val="335075F0"/>
    <w:rsid w:val="357A59AB"/>
    <w:rsid w:val="36146DD4"/>
    <w:rsid w:val="383F583E"/>
    <w:rsid w:val="38E478A9"/>
    <w:rsid w:val="3B6D6499"/>
    <w:rsid w:val="3DF60D3F"/>
    <w:rsid w:val="3F2769CA"/>
    <w:rsid w:val="3F2D0DAC"/>
    <w:rsid w:val="3FF302E7"/>
    <w:rsid w:val="3FF81D35"/>
    <w:rsid w:val="449D38CB"/>
    <w:rsid w:val="455C1898"/>
    <w:rsid w:val="47D12A57"/>
    <w:rsid w:val="484E4E00"/>
    <w:rsid w:val="4AEF0CA6"/>
    <w:rsid w:val="4AFA1DF5"/>
    <w:rsid w:val="4BB41707"/>
    <w:rsid w:val="4C776C89"/>
    <w:rsid w:val="4C897C88"/>
    <w:rsid w:val="4F2B6BC9"/>
    <w:rsid w:val="530458FF"/>
    <w:rsid w:val="53E476AC"/>
    <w:rsid w:val="56216B88"/>
    <w:rsid w:val="589318B2"/>
    <w:rsid w:val="5B905B0E"/>
    <w:rsid w:val="5D887B5D"/>
    <w:rsid w:val="5D9C1DE0"/>
    <w:rsid w:val="5E6E351F"/>
    <w:rsid w:val="60060186"/>
    <w:rsid w:val="602A400E"/>
    <w:rsid w:val="609A7570"/>
    <w:rsid w:val="618E7966"/>
    <w:rsid w:val="648A1C93"/>
    <w:rsid w:val="659E4086"/>
    <w:rsid w:val="65A92B74"/>
    <w:rsid w:val="666D12D6"/>
    <w:rsid w:val="66B334E6"/>
    <w:rsid w:val="68236B84"/>
    <w:rsid w:val="698374C5"/>
    <w:rsid w:val="6A346913"/>
    <w:rsid w:val="6BBA29A9"/>
    <w:rsid w:val="6C3727D2"/>
    <w:rsid w:val="6CCC1046"/>
    <w:rsid w:val="6D76487D"/>
    <w:rsid w:val="72196460"/>
    <w:rsid w:val="73455390"/>
    <w:rsid w:val="738F4CB5"/>
    <w:rsid w:val="74503345"/>
    <w:rsid w:val="774C2143"/>
    <w:rsid w:val="798D2E3E"/>
    <w:rsid w:val="7E0958E8"/>
    <w:rsid w:val="7E11535D"/>
    <w:rsid w:val="7ECC1B33"/>
    <w:rsid w:val="7FF0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2024-04-03T09:41:00Z</dcterms:created>
  <dc:creator>法制宣传科</dc:creator>
  <cp:lastModifiedBy>法制宣传科</cp:lastModifiedBy>
  <cp:lastPrinted>2024-04-28T09:46:31Z</cp:lastPrinted>
  <dcterms:modified xsi:type="dcterms:W3CDTF">2024-04-28T09:55:35Z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