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关于对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highlight w:val="none"/>
          <w:lang w:val="en-US" w:eastAsia="zh-CN"/>
        </w:rPr>
        <w:t>天津医药集团马光医疗投资管理有限</w:t>
      </w:r>
      <w:bookmarkEnd w:id="0"/>
      <w:r>
        <w:rPr>
          <w:rFonts w:hint="eastAsia" w:ascii="方正小标宋简体" w:hAnsi="方正小标宋简体" w:eastAsia="方正小标宋简体" w:cs="方正小标宋简体"/>
          <w:spacing w:val="-4"/>
          <w:kern w:val="0"/>
          <w:sz w:val="44"/>
          <w:szCs w:val="44"/>
          <w:highlight w:val="none"/>
          <w:lang w:val="en-US" w:eastAsia="zh-CN"/>
        </w:rPr>
        <w:t>公司云景大厦门诊部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等十家定点医疗机构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医保违法违规行为行政处理决定的公示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文星简小标宋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8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近日，市医保局依法对存在医保违法违规行为的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天津医药集团马光医疗投资管理有限公司云景大厦门诊部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等十家定点医疗机构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予以行政处理，现将有关情况公示如下：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6" w:leftChars="0" w:firstLine="624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val="en-US" w:eastAsia="zh-CN"/>
        </w:rPr>
        <w:t>天津医药集团马光医疗投资管理有限公司云景大厦门诊部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存在串换诊疗项目、违反诊疗规范过度诊疗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造成医疗保障基金损失的其他违法行为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《中华人民共和国行政处罚法》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第三十二条第（一）项、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《医疗保障基金使用监督管理条例》第三十八条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第（二）、（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）、（七）项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罚款5981.70元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6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天津市滨海新区海滨人民医院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存在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串换诊疗项目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超标准收费的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《中华人民共和国行政处罚法》第三十二条第（一）项、《医疗保障基金使用监督管理条例》第三十八条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）、（四）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18572.70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6" w:leftChars="0" w:firstLine="624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天津市河西医院存在超标准收费、串换诊疗项目、重复收费的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依据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zh-CN"/>
        </w:rPr>
        <w:t>《中华人民共和国行政处罚法》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第三十二条第（一）项、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《医疗保障基金使用监督管理条例》第三十八条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第（三）、（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bCs/>
          <w:spacing w:val="-4"/>
          <w:kern w:val="0"/>
          <w:sz w:val="32"/>
          <w:szCs w:val="32"/>
          <w:lang w:val="zh-CN"/>
        </w:rPr>
        <w:t>）项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0053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3881.55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天津市黄河医院（天津市体育医院）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lang w:val="zh-CN"/>
        </w:rPr>
        <w:t>存在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  <w:lang w:val="zh-CN"/>
        </w:rPr>
        <w:t>超标准收费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  <w:highlight w:val="none"/>
        </w:rPr>
        <w:t>串换诊疗项目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违规行为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甲级手术技术附加费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等十二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个项目。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《中华人民共和国行政处罚法》第三十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（一）项、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（三）、（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eastAsia="zh-CN"/>
        </w:rPr>
        <w:t>14402.4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天津市宁河区中医医院存在超标准收费的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违规行为，涉及乙级手术技术附加费、丁级手术技术附加费、戊级手术技术附加费、庚级手术技术附加费、己级手术技术附加费项目；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存在串换诊疗项目的</w:t>
      </w:r>
      <w:r>
        <w:rPr>
          <w:rFonts w:hint="eastAsia" w:ascii="Times New Roman" w:eastAsia="仿宋_GB2312" w:cs="Times New Roman"/>
          <w:bCs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违规行为，涉及低位骨埋伏阻生智齿摘除术、颌骨囊肿袋形术、皮肤表浅肿物切除术、色素痣切除术、舌系带矫正术、深部脓肿切开引流术、血管瘤切除术、颜面颈部肿物切除术及相应级别手术技术附加费项目</w:t>
      </w:r>
      <w:r>
        <w:rPr>
          <w:rFonts w:hint="eastAsia" w:ascii="Times New Roman" w:eastAsia="仿宋_GB2312" w:cs="Times New Roman"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依据《中华人民共和国行政处罚法》第三十二条第（一）项、《医疗保障基金使用监督管理条例》第三十八条第（三）、（四）项之规定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罚款9673.65元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天津市滨海新区中医医院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存在超标准收费的</w:t>
      </w:r>
      <w:r>
        <w:rPr>
          <w:rFonts w:hint="eastAsia" w:ascii="Times New Roman" w:eastAsia="仿宋_GB2312" w:cs="Times New Roman"/>
          <w:color w:val="000000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违规行为，涉及甲级手术技术附加费、乙级手术技术附加费、戊级手术技术附加费项目；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存在串换诊疗项目的</w:t>
      </w:r>
      <w:r>
        <w:rPr>
          <w:rFonts w:hint="eastAsia" w:ascii="Times New Roman" w:eastAsia="仿宋_GB2312" w:cs="Times New Roman"/>
          <w:bCs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违规行为，涉及胫骨上端软骨瘤切除、环扎带松解术及相应级别手术技术附加费项目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。依据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《中华人民共和国行政处罚法》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highlight w:val="none"/>
        </w:rPr>
        <w:t>第三十三条第一款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、第三十六条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、《医疗保障基金使用监督管理条例》第三十八条第（三）、（四）项之规定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2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pacing w:val="-4"/>
          <w:kern w:val="0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en-US" w:eastAsia="zh-CN"/>
        </w:rPr>
        <w:t>天津市宝坻区人民医院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highlight w:val="none"/>
          <w:lang w:val="en-US" w:eastAsia="zh-CN"/>
        </w:rPr>
        <w:t>超标准收费、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串换诊疗项目的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《医疗保障基金使用监督管理条例》第三十八条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第（三）、（四）项之规定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0052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eastAsia" w:ascii="Times New Roman" w:hAnsi="Times New Roman" w:eastAsia="仿宋_GB2312" w:cs="Times New Roman"/>
          <w:bCs/>
          <w:color w:val="auto"/>
          <w:kern w:val="0"/>
          <w:sz w:val="32"/>
          <w:szCs w:val="32"/>
          <w:lang w:val="en-US" w:eastAsia="zh-CN" w:bidi="ar-SA"/>
        </w:rPr>
        <w:t>9747.00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八、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天津市滨海新区大港医院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超标准收费的</w:t>
      </w:r>
      <w:r>
        <w:rPr>
          <w:rFonts w:hint="eastAsia" w:eastAsia="仿宋_GB2312" w:cs="Times New Roman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违规行为，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涉及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“甲级手术技术附加费”、“乙级手术技术附加费”、“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级手术技术附加费”、“丁级手术技术附加费”、“戊级手术技术附加费”项目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；存在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串换诊疗项目的</w:t>
      </w:r>
      <w:r>
        <w:rPr>
          <w:rFonts w:hint="eastAsia" w:eastAsia="仿宋_GB2312" w:cs="Times New Roman"/>
          <w:spacing w:val="-4"/>
          <w:kern w:val="0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pacing w:val="-4"/>
          <w:kern w:val="0"/>
          <w:sz w:val="32"/>
          <w:szCs w:val="32"/>
        </w:rPr>
        <w:t>违规行为，涉及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“皮肤表浅肿物切除术”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“颈部表浅肿物切除术”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“色素痣切除术”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“深部脓肿切开引流术”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“颈深部肿物切除术”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“血管瘤切除术”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“甲级手术技术附加费”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“乙级手术技术附加费”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“丁级手术技术附加费”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“戊级手术技术附加费”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《中华人民共和国行政处罚法》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第（一）项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CN"/>
        </w:rPr>
        <w:t>《医疗保障基金使用监督管理条例》第三十八条第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CN"/>
        </w:rPr>
        <w:t>（四）项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zh-CN"/>
        </w:rPr>
        <w:t>60457.65</w:t>
      </w:r>
      <w:r>
        <w:rPr>
          <w:rFonts w:hint="default" w:ascii="Times New Roman" w:hAnsi="Times New Roman" w:eastAsia="仿宋_GB2312" w:cs="Times New Roman"/>
          <w:color w:val="auto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九、</w:t>
      </w:r>
      <w:r>
        <w:rPr>
          <w:rFonts w:hint="default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/>
        </w:rPr>
        <w:t>天津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en-US" w:eastAsia="zh-CN"/>
        </w:rPr>
        <w:t>第一中心</w:t>
      </w:r>
      <w:r>
        <w:rPr>
          <w:rFonts w:hint="eastAsia" w:ascii="Times New Roman" w:hAnsi="Times New Roman" w:eastAsia="仿宋_GB2312" w:cs="Times New Roman"/>
          <w:color w:val="auto"/>
          <w:spacing w:val="-4"/>
          <w:kern w:val="0"/>
          <w:sz w:val="32"/>
          <w:szCs w:val="32"/>
          <w:lang w:val="zh-CN" w:eastAsia="zh-CN"/>
        </w:rPr>
        <w:t>医院</w:t>
      </w: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zh-CN"/>
        </w:rPr>
        <w:t>存在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/>
        </w:rPr>
        <w:t>超标准收费和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串换诊疗项目的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pacing w:val="0"/>
          <w:kern w:val="0"/>
          <w:sz w:val="32"/>
          <w:szCs w:val="32"/>
          <w:lang w:val="en-US"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违规行为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依据《中华人民共和国行政处罚法》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32"/>
          <w:szCs w:val="32"/>
          <w:highlight w:val="none"/>
          <w:lang w:val="zh-CN"/>
        </w:rPr>
        <w:t>第三十二条第（一）项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、《医疗保障基金使用监督管理条例》第三十八条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（三）、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zh-CN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0040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en-US" w:eastAsia="zh-CN"/>
        </w:rPr>
        <w:t>28265.30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天津市天津医院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存在重复收费的</w:t>
      </w:r>
      <w:r>
        <w:rPr>
          <w:rFonts w:hint="eastAsia" w:eastAsia="仿宋_GB2312" w:cs="Times New Roman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违规行为，涉及“肌电图（进口仪器）”（60元/次）项目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；存在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超标准收费的</w:t>
      </w:r>
      <w:r>
        <w:rPr>
          <w:rFonts w:hint="eastAsia" w:eastAsia="仿宋_GB2312" w:cs="Times New Roman"/>
          <w:sz w:val="32"/>
          <w:szCs w:val="32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违规行为，涉及“肌电图”（60元/条肌肉，最高收取8条）项目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依据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《中华人民共和国行政处罚法》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第三十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第（一）项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第三十六条、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CN"/>
        </w:rPr>
        <w:t>《医疗保障基金使用监督管理条例》第三十八条第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CN"/>
        </w:rPr>
        <w:t>项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之规定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市医保局对其作出行政处理决定（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津医保处字〔202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〕第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00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），退回医疗保险金，并处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罚款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  <w:lang w:val="zh-CN"/>
        </w:rPr>
        <w:t>19205.1</w:t>
      </w:r>
      <w:r>
        <w:rPr>
          <w:rFonts w:hint="default" w:ascii="Times New Roman" w:hAnsi="Times New Roman" w:eastAsia="仿宋_GB2312" w:cs="Times New Roman"/>
          <w:spacing w:val="-8"/>
          <w:sz w:val="32"/>
          <w:szCs w:val="32"/>
        </w:rPr>
        <w:t>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78" w:lineRule="exact"/>
        <w:ind w:left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78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49B4"/>
    <w:multiLevelType w:val="singleLevel"/>
    <w:tmpl w:val="406349B4"/>
    <w:lvl w:ilvl="0" w:tentative="0">
      <w:start w:val="1"/>
      <w:numFmt w:val="chineseCounting"/>
      <w:suff w:val="nothing"/>
      <w:lvlText w:val="%1、"/>
      <w:lvlJc w:val="left"/>
      <w:pPr>
        <w:ind w:left="6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458FF"/>
    <w:rsid w:val="002B731B"/>
    <w:rsid w:val="00B215F7"/>
    <w:rsid w:val="01F3668D"/>
    <w:rsid w:val="033A3A1D"/>
    <w:rsid w:val="0402561C"/>
    <w:rsid w:val="05262734"/>
    <w:rsid w:val="087D483F"/>
    <w:rsid w:val="090C27F4"/>
    <w:rsid w:val="091F381D"/>
    <w:rsid w:val="09E07E6F"/>
    <w:rsid w:val="0A0F22A1"/>
    <w:rsid w:val="0C7D63BD"/>
    <w:rsid w:val="0D347DD8"/>
    <w:rsid w:val="0FFF5C1B"/>
    <w:rsid w:val="10B96393"/>
    <w:rsid w:val="11C96EDB"/>
    <w:rsid w:val="12930970"/>
    <w:rsid w:val="137739DC"/>
    <w:rsid w:val="140F562F"/>
    <w:rsid w:val="14B05DF3"/>
    <w:rsid w:val="14E76C28"/>
    <w:rsid w:val="153756AF"/>
    <w:rsid w:val="178E0EB3"/>
    <w:rsid w:val="17B60013"/>
    <w:rsid w:val="1A0C7BF6"/>
    <w:rsid w:val="1B73412E"/>
    <w:rsid w:val="1C886B85"/>
    <w:rsid w:val="1F4D68F3"/>
    <w:rsid w:val="209A5259"/>
    <w:rsid w:val="266C7C45"/>
    <w:rsid w:val="270A2646"/>
    <w:rsid w:val="27347966"/>
    <w:rsid w:val="29CF47D6"/>
    <w:rsid w:val="2BE214BB"/>
    <w:rsid w:val="2C5C54D1"/>
    <w:rsid w:val="2CAE0A25"/>
    <w:rsid w:val="2E5F4166"/>
    <w:rsid w:val="2E967E76"/>
    <w:rsid w:val="2FFD1F90"/>
    <w:rsid w:val="30047A96"/>
    <w:rsid w:val="32AB66C3"/>
    <w:rsid w:val="335075F0"/>
    <w:rsid w:val="357A59AB"/>
    <w:rsid w:val="36146DD4"/>
    <w:rsid w:val="383F583E"/>
    <w:rsid w:val="38E478A9"/>
    <w:rsid w:val="3B6D6499"/>
    <w:rsid w:val="3DF60D3F"/>
    <w:rsid w:val="3F2769CA"/>
    <w:rsid w:val="3F2D0DAC"/>
    <w:rsid w:val="3FF302E7"/>
    <w:rsid w:val="3FF81D35"/>
    <w:rsid w:val="449D38CB"/>
    <w:rsid w:val="455C1898"/>
    <w:rsid w:val="47D12A57"/>
    <w:rsid w:val="484E4E00"/>
    <w:rsid w:val="4AEF0CA6"/>
    <w:rsid w:val="4AFA1DF5"/>
    <w:rsid w:val="4C776C89"/>
    <w:rsid w:val="4C897C88"/>
    <w:rsid w:val="4F2B6BC9"/>
    <w:rsid w:val="530458FF"/>
    <w:rsid w:val="53E476AC"/>
    <w:rsid w:val="56216B88"/>
    <w:rsid w:val="589318B2"/>
    <w:rsid w:val="5B905B0E"/>
    <w:rsid w:val="5D887B5D"/>
    <w:rsid w:val="5D9C1DE0"/>
    <w:rsid w:val="5E6E351F"/>
    <w:rsid w:val="60060186"/>
    <w:rsid w:val="602A400E"/>
    <w:rsid w:val="609A7570"/>
    <w:rsid w:val="618E7966"/>
    <w:rsid w:val="648A1C93"/>
    <w:rsid w:val="659E4086"/>
    <w:rsid w:val="65A92B74"/>
    <w:rsid w:val="666D12D6"/>
    <w:rsid w:val="66B334E6"/>
    <w:rsid w:val="68236B84"/>
    <w:rsid w:val="698374C5"/>
    <w:rsid w:val="6A346913"/>
    <w:rsid w:val="6BBA29A9"/>
    <w:rsid w:val="6C3727D2"/>
    <w:rsid w:val="6CCC1046"/>
    <w:rsid w:val="6D76487D"/>
    <w:rsid w:val="6F5A7558"/>
    <w:rsid w:val="72196460"/>
    <w:rsid w:val="73455390"/>
    <w:rsid w:val="738F4CB5"/>
    <w:rsid w:val="74503345"/>
    <w:rsid w:val="774C2143"/>
    <w:rsid w:val="798D2E3E"/>
    <w:rsid w:val="7CD930DA"/>
    <w:rsid w:val="7E0958E8"/>
    <w:rsid w:val="7E11535D"/>
    <w:rsid w:val="7ECC1B33"/>
    <w:rsid w:val="7F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2024-04-03T09:41:00Z</dcterms:created>
  <dc:creator>法制宣传科</dc:creator>
  <cp:lastModifiedBy>法制宣传科</cp:lastModifiedBy>
  <cp:lastPrinted>2024-05-07T08:33:04Z</cp:lastPrinted>
  <dcterms:modified xsi:type="dcterms:W3CDTF">2024-05-07T09:10:17Z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