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关于对</w:t>
      </w:r>
      <w:r>
        <w:rPr>
          <w:rFonts w:ascii="Times New Roman" w:hAnsi="Times New Roman" w:eastAsia="方正小标宋简体" w:cs="Times New Roman"/>
          <w:sz w:val="44"/>
          <w:szCs w:val="44"/>
          <w:lang w:val="zh-CN" w:eastAsia="zh-CN"/>
        </w:rPr>
        <w:t>天津和平津萃医院</w:t>
      </w: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等</w:t>
      </w:r>
      <w:r>
        <w:rPr>
          <w:rFonts w:hint="eastAsia" w:eastAsia="方正小标宋简体" w:cs="Times New Roman"/>
          <w:sz w:val="44"/>
          <w:szCs w:val="44"/>
          <w:lang w:val="zh-CN"/>
        </w:rPr>
        <w:t>三</w:t>
      </w: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家定点医疗机构医保违法违规行为行政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处理决定的公示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文星简小标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8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近日，市医保局依法对存在医保违法违规行为的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val="zh-CN" w:eastAsia="zh-CN"/>
        </w:rPr>
        <w:t>天津和平津萃医院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等</w:t>
      </w:r>
      <w:r>
        <w:rPr>
          <w:rFonts w:hint="eastAsia" w:eastAsia="仿宋_GB2312" w:cs="Times New Roman"/>
          <w:sz w:val="32"/>
          <w:szCs w:val="32"/>
          <w:lang w:val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家定点医疗机构</w:t>
      </w:r>
      <w:r>
        <w:rPr>
          <w:rFonts w:ascii="Times New Roman" w:hAnsi="Times New Roman" w:eastAsia="仿宋_GB2312" w:cs="Times New Roman"/>
          <w:sz w:val="32"/>
          <w:szCs w:val="32"/>
        </w:rPr>
        <w:t>予以行政处理，现将有关情况公示如下：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24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val="zh-CN" w:eastAsia="zh-CN"/>
        </w:rPr>
        <w:t>天津和平津萃医院</w:t>
      </w:r>
      <w:r>
        <w:rPr>
          <w:rFonts w:ascii="Times New Roman" w:hAnsi="Times New Roman" w:eastAsia="仿宋_GB2312" w:cs="Times New Roman"/>
          <w:color w:val="auto"/>
          <w:spacing w:val="-4"/>
          <w:kern w:val="0"/>
          <w:sz w:val="32"/>
          <w:szCs w:val="32"/>
          <w:highlight w:val="none"/>
          <w:lang w:val="en-US" w:eastAsia="zh-CN"/>
        </w:rPr>
        <w:t>存在</w:t>
      </w:r>
      <w:r>
        <w:rPr>
          <w:rFonts w:ascii="仿宋_GB2312" w:eastAsia="仿宋_GB2312"/>
          <w:sz w:val="32"/>
          <w:szCs w:val="32"/>
        </w:rPr>
        <w:t>重复收费、串换诊疗项目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依据《中华人民共和国行政处罚法》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第三十二条第（一）项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、《医疗保障基金使用监督管理条例》第三十八条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之规定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066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58089.63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天津市北辰区天穆镇社区卫生服务中心</w:t>
      </w:r>
      <w:r>
        <w:rPr>
          <w:rFonts w:ascii="Times New Roman" w:hAnsi="Times New Roman" w:eastAsia="仿宋_GB2312" w:cs="Times New Roman"/>
          <w:sz w:val="32"/>
          <w:szCs w:val="32"/>
        </w:rPr>
        <w:t>存在</w:t>
      </w:r>
      <w:r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  <w:t>冒用基本医疗保险服务医师名义申报医疗费用、</w:t>
      </w:r>
      <w:r>
        <w:rPr>
          <w:rFonts w:ascii="Times New Roman" w:hAnsi="Times New Roman" w:eastAsia="仿宋_GB2312" w:cs="Times New Roman"/>
          <w:sz w:val="32"/>
          <w:szCs w:val="32"/>
        </w:rPr>
        <w:t>串换诊疗项目、</w:t>
      </w:r>
      <w:r>
        <w:rPr>
          <w:rFonts w:ascii="Times New Roman" w:hAnsi="Times New Roman" w:eastAsia="仿宋_GB2312" w:cs="Times New Roman"/>
          <w:color w:val="auto"/>
          <w:spacing w:val="-4"/>
          <w:kern w:val="0"/>
          <w:sz w:val="32"/>
          <w:szCs w:val="32"/>
          <w:highlight w:val="none"/>
          <w:lang w:eastAsia="zh-CN"/>
        </w:rPr>
        <w:t>超仪器适用范围开展诊疗项目的</w:t>
      </w:r>
      <w:r>
        <w:rPr>
          <w:rFonts w:hint="eastAsia" w:eastAsia="仿宋_GB2312" w:cs="Times New Roman"/>
          <w:color w:val="auto"/>
          <w:spacing w:val="-4"/>
          <w:kern w:val="0"/>
          <w:sz w:val="32"/>
          <w:szCs w:val="32"/>
          <w:highlight w:val="none"/>
          <w:lang w:eastAsia="zh-CN"/>
        </w:rPr>
        <w:t>违法</w:t>
      </w:r>
      <w:r>
        <w:rPr>
          <w:rFonts w:ascii="Times New Roman" w:hAnsi="Times New Roman" w:eastAsia="仿宋_GB2312" w:cs="Times New Roman"/>
          <w:color w:val="auto"/>
          <w:spacing w:val="-4"/>
          <w:kern w:val="0"/>
          <w:sz w:val="32"/>
          <w:szCs w:val="32"/>
          <w:highlight w:val="none"/>
          <w:lang w:eastAsia="zh-CN"/>
        </w:rPr>
        <w:t>违规行为，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依据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《中华人民共和国行政处罚法》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第三十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第（一）项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zh-CN"/>
        </w:rPr>
        <w:t>《医疗保障基金使用监督管理条例》第三十八条第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  <w:t>、（七）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val="zh-CN"/>
        </w:rPr>
        <w:t>项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之规定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ascii="Times New Roman" w:hAnsi="Times New Roman" w:eastAsia="仿宋_GB2312" w:cs="Times New Roman"/>
          <w:strike w:val="0"/>
          <w:dstrike w:val="0"/>
          <w:kern w:val="0"/>
          <w:sz w:val="32"/>
          <w:szCs w:val="32"/>
          <w:highlight w:val="none"/>
          <w:lang w:val="en-US" w:eastAsia="zh-CN"/>
        </w:rPr>
        <w:t>00</w:t>
      </w:r>
      <w:r>
        <w:rPr>
          <w:rFonts w:hint="eastAsia" w:eastAsia="仿宋_GB2312" w:cs="Times New Roman"/>
          <w:strike w:val="0"/>
          <w:dstrike w:val="0"/>
          <w:kern w:val="0"/>
          <w:sz w:val="32"/>
          <w:szCs w:val="32"/>
          <w:highlight w:val="none"/>
          <w:lang w:val="en-US" w:eastAsia="zh-CN"/>
        </w:rPr>
        <w:t>58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ascii="Times New Roman" w:hAnsi="Times New Roman" w:eastAsia="仿宋_GB2312" w:cs="Times New Roman"/>
          <w:spacing w:val="-8"/>
          <w:sz w:val="32"/>
          <w:szCs w:val="32"/>
          <w:lang w:val="zh-CN"/>
        </w:rPr>
        <w:t>64482.36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24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/>
        </w:rPr>
        <w:t>天津市北辰区中医医院</w:t>
      </w:r>
      <w:r>
        <w:rPr>
          <w:rFonts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zh-CN"/>
        </w:rPr>
        <w:t>存在</w:t>
      </w:r>
      <w:r>
        <w:rPr>
          <w:rFonts w:hint="eastAsia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/>
        </w:rPr>
        <w:t>超标准收费</w:t>
      </w:r>
      <w:r>
        <w:rPr>
          <w:rFonts w:hint="default" w:eastAsia="仿宋_GB2312" w:cs="Times New Roman"/>
          <w:bCs w:val="0"/>
          <w:color w:val="auto"/>
          <w:kern w:val="2"/>
          <w:sz w:val="32"/>
          <w:szCs w:val="32"/>
          <w:highlight w:val="none"/>
          <w:lang w:eastAsia="zh-CN"/>
        </w:rPr>
        <w:t>、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串换诊疗项目的</w:t>
      </w:r>
      <w:r>
        <w:rPr>
          <w:rFonts w:hint="eastAsia" w:eastAsia="仿宋_GB2312" w:cs="Times New Roman"/>
          <w:sz w:val="32"/>
          <w:szCs w:val="32"/>
          <w:lang w:eastAsia="zh-CN"/>
        </w:rPr>
        <w:t>违法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违规行为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依据《中华人民共和国行政处罚法》</w:t>
      </w:r>
      <w:r>
        <w:rPr>
          <w:rFonts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shd w:val="clear" w:color="auto" w:fill="auto"/>
          <w:lang w:val="zh-CN"/>
        </w:rPr>
        <w:t>第三十二条第（一）项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、《医疗保障基金使用监督管理条例》第三十八条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（四）项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zh-CN"/>
        </w:rPr>
        <w:t>之规定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eastAsia" w:ascii="Times New Roman" w:hAnsi="Times New Roman" w:eastAsia="仿宋_GB2312" w:cs="Times New Roman"/>
          <w:strike w:val="0"/>
          <w:dstrike w:val="0"/>
          <w:kern w:val="0"/>
          <w:sz w:val="32"/>
          <w:szCs w:val="32"/>
          <w:highlight w:val="none"/>
          <w:lang w:val="en-US" w:eastAsia="zh-CN"/>
        </w:rPr>
        <w:t>006</w:t>
      </w:r>
      <w:r>
        <w:rPr>
          <w:rFonts w:hint="eastAsia" w:eastAsia="仿宋_GB2312" w:cs="Times New Roman"/>
          <w:strike w:val="0"/>
          <w:dstrike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33934.35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简小标宋">
    <w:altName w:val="方正兰亭黑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49B4"/>
    <w:multiLevelType w:val="singleLevel"/>
    <w:tmpl w:val="406349B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ED5FB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555</Words>
  <Characters>594</Characters>
  <Lines>28</Lines>
  <Paragraphs>6</Paragraphs>
  <TotalTime>19</TotalTime>
  <ScaleCrop>false</ScaleCrop>
  <LinksUpToDate>false</LinksUpToDate>
  <CharactersWithSpaces>594</CharactersWithSpaces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2024-04-03T17:41:00Z</dcterms:created>
  <dc:creator>法制宣传科</dc:creator>
  <cp:lastModifiedBy>法制宣传科</cp:lastModifiedBy>
  <cp:lastPrinted>2024-05-27T15:51:00Z</cp:lastPrinted>
  <dcterms:modified xsi:type="dcterms:W3CDTF">2024-05-28T02:50:47Z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