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E98D0">
      <w:pPr>
        <w:keepNext w:val="0"/>
        <w:keepLines w:val="0"/>
        <w:pageBreakBefore w:val="0"/>
        <w:tabs>
          <w:tab w:val="left" w:pos="1853"/>
        </w:tabs>
        <w:kinsoku/>
        <w:wordWrap/>
        <w:overflowPunct/>
        <w:topLinePunct w:val="0"/>
        <w:autoSpaceDE/>
        <w:autoSpaceDN/>
        <w:bidi w:val="0"/>
        <w:adjustRightInd/>
        <w:spacing w:line="580" w:lineRule="exact"/>
        <w:jc w:val="left"/>
        <w:textAlignment w:val="auto"/>
        <w:rPr>
          <w:rFonts w:hint="default"/>
          <w:b/>
          <w:bCs/>
          <w:lang w:val="en-US" w:eastAsia="zh-CN"/>
        </w:rPr>
      </w:pPr>
      <w:r>
        <w:rPr>
          <w:rFonts w:hint="eastAsia"/>
          <w:b/>
          <w:bCs/>
          <w:lang w:val="en-US" w:eastAsia="zh-CN"/>
        </w:rPr>
        <w:t>附件1</w:t>
      </w:r>
    </w:p>
    <w:p w14:paraId="6CA8F9CC">
      <w:pPr>
        <w:keepNext w:val="0"/>
        <w:keepLines w:val="0"/>
        <w:pageBreakBefore w:val="0"/>
        <w:kinsoku/>
        <w:wordWrap/>
        <w:overflowPunct/>
        <w:topLinePunct w:val="0"/>
        <w:autoSpaceDE/>
        <w:autoSpaceDN/>
        <w:bidi w:val="0"/>
        <w:adjustRightInd/>
        <w:spacing w:line="580" w:lineRule="exact"/>
        <w:jc w:val="center"/>
        <w:textAlignment w:val="auto"/>
        <w:rPr>
          <w:rFonts w:hint="eastAsia" w:ascii="仿宋" w:hAnsi="仿宋" w:eastAsia="仿宋" w:cs="仿宋"/>
          <w:sz w:val="28"/>
          <w:szCs w:val="28"/>
        </w:rPr>
      </w:pPr>
      <w:r>
        <w:rPr>
          <w:rFonts w:hint="eastAsia" w:asciiTheme="majorEastAsia" w:hAnsiTheme="majorEastAsia" w:eastAsiaTheme="majorEastAsia" w:cstheme="majorEastAsia"/>
          <w:b/>
          <w:bCs/>
          <w:sz w:val="44"/>
          <w:szCs w:val="44"/>
          <w:lang w:val="en-US" w:eastAsia="zh-CN"/>
        </w:rPr>
        <w:t>2025年度天津市医疗保险研究会课题指南</w:t>
      </w:r>
      <w:r>
        <w:rPr>
          <w:rFonts w:ascii="宋体" w:hAnsi="宋体" w:eastAsia="宋体" w:cs="宋体"/>
          <w:kern w:val="0"/>
          <w:sz w:val="24"/>
          <w:szCs w:val="24"/>
          <w:lang w:val="en-US" w:eastAsia="zh-CN" w:bidi="ar"/>
        </w:rPr>
        <w:br w:type="textWrapping"/>
      </w:r>
    </w:p>
    <w:p w14:paraId="5634C01E">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sz w:val="28"/>
          <w:szCs w:val="28"/>
          <w:lang w:val="en-US"/>
        </w:rPr>
      </w:pPr>
      <w:r>
        <w:rPr>
          <w:rStyle w:val="6"/>
          <w:rFonts w:hint="eastAsia" w:ascii="仿宋" w:hAnsi="仿宋" w:eastAsia="仿宋" w:cs="仿宋"/>
          <w:kern w:val="0"/>
          <w:sz w:val="28"/>
          <w:szCs w:val="28"/>
          <w:lang w:val="en-US" w:eastAsia="zh-CN" w:bidi="ar"/>
        </w:rPr>
        <w:t>（一）天津市医疗保障立法相关问题研究</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研究内容：</w:t>
      </w:r>
      <w:r>
        <w:rPr>
          <w:rFonts w:hint="eastAsia" w:ascii="仿宋" w:hAnsi="仿宋" w:eastAsia="仿宋" w:cs="仿宋"/>
          <w:kern w:val="0"/>
          <w:sz w:val="28"/>
          <w:szCs w:val="28"/>
          <w:lang w:val="en-US" w:eastAsia="zh-CN" w:bidi="ar"/>
        </w:rPr>
        <w:t>通过对《天津市基本医疗保险条例》实施情况进行总结分析；在《天津市基本医疗保险条例》基础上，对标国家层面医疗保障相关法律法规规章立法情况，学习借鉴兄弟省市医疗保障地方立法情况，坚持问题导向，研究《天津市医疗保障条例》立法相关问题。</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研究周期：</w:t>
      </w:r>
      <w:r>
        <w:rPr>
          <w:rFonts w:hint="eastAsia" w:ascii="仿宋" w:hAnsi="仿宋" w:eastAsia="仿宋" w:cs="仿宋"/>
          <w:kern w:val="0"/>
          <w:sz w:val="28"/>
          <w:szCs w:val="28"/>
          <w:lang w:val="en-US" w:eastAsia="zh-CN" w:bidi="ar"/>
        </w:rPr>
        <w:t>12个月</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经费预算：</w:t>
      </w:r>
      <w:r>
        <w:rPr>
          <w:rFonts w:hint="eastAsia" w:ascii="仿宋" w:hAnsi="仿宋" w:eastAsia="仿宋" w:cs="仿宋"/>
          <w:kern w:val="0"/>
          <w:sz w:val="28"/>
          <w:szCs w:val="28"/>
          <w:lang w:val="en-US" w:eastAsia="zh-CN" w:bidi="ar"/>
        </w:rPr>
        <w:t>5万元</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成果形式：</w:t>
      </w:r>
      <w:r>
        <w:rPr>
          <w:rFonts w:hint="eastAsia" w:ascii="仿宋" w:hAnsi="仿宋" w:eastAsia="仿宋" w:cs="仿宋"/>
          <w:kern w:val="0"/>
          <w:sz w:val="28"/>
          <w:szCs w:val="28"/>
          <w:lang w:val="en-US" w:eastAsia="zh-CN" w:bidi="ar"/>
        </w:rPr>
        <w:t>研究报告和相关政策建议</w:t>
      </w:r>
    </w:p>
    <w:p w14:paraId="7576A44C">
      <w:pPr>
        <w:keepNext w:val="0"/>
        <w:keepLines w:val="0"/>
        <w:pageBreakBefore w:val="0"/>
        <w:tabs>
          <w:tab w:val="left" w:pos="1853"/>
        </w:tabs>
        <w:kinsoku/>
        <w:wordWrap/>
        <w:overflowPunct/>
        <w:topLinePunct w:val="0"/>
        <w:autoSpaceDE/>
        <w:autoSpaceDN/>
        <w:bidi w:val="0"/>
        <w:adjustRightInd/>
        <w:spacing w:line="580" w:lineRule="exact"/>
        <w:jc w:val="left"/>
        <w:textAlignment w:val="auto"/>
        <w:rPr>
          <w:rFonts w:hint="default"/>
          <w:lang w:val="en-US" w:eastAsia="zh-CN"/>
        </w:rPr>
      </w:pPr>
    </w:p>
    <w:p w14:paraId="3B3BBF7B">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both"/>
        <w:textAlignment w:val="auto"/>
        <w:rPr>
          <w:rFonts w:hint="eastAsia" w:ascii="仿宋" w:hAnsi="仿宋" w:eastAsia="仿宋" w:cs="仿宋"/>
          <w:kern w:val="0"/>
          <w:sz w:val="28"/>
          <w:szCs w:val="28"/>
          <w:lang w:val="en-US" w:eastAsia="zh-CN" w:bidi="ar"/>
        </w:rPr>
      </w:pPr>
      <w:r>
        <w:rPr>
          <w:rStyle w:val="6"/>
          <w:rFonts w:hint="eastAsia" w:ascii="仿宋" w:hAnsi="仿宋" w:eastAsia="仿宋" w:cs="仿宋"/>
          <w:kern w:val="0"/>
          <w:sz w:val="28"/>
          <w:szCs w:val="28"/>
          <w:lang w:val="en-US" w:eastAsia="zh-CN" w:bidi="ar"/>
        </w:rPr>
        <w:t>（二）天津市医保定点服务资源配置相关问题研究</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研究内容：</w:t>
      </w:r>
      <w:r>
        <w:rPr>
          <w:rFonts w:hint="eastAsia" w:ascii="仿宋" w:hAnsi="仿宋" w:eastAsia="仿宋" w:cs="仿宋"/>
          <w:kern w:val="0"/>
          <w:sz w:val="28"/>
          <w:szCs w:val="28"/>
          <w:lang w:val="en-US" w:eastAsia="zh-CN" w:bidi="ar"/>
        </w:rPr>
        <w:t>通过对群众医疗需求、医保基金支撑能力、区域医疗卫生资源规划、天津市定点医药机构分布现状等因素的分析，集合国家医保局关于医保定点资源配置的指导意见和兄弟省市特别是试点地区的做法，研究本地区定点医药机构资源配置。</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研究周期：</w:t>
      </w:r>
      <w:r>
        <w:rPr>
          <w:rFonts w:hint="eastAsia" w:ascii="仿宋" w:hAnsi="仿宋" w:eastAsia="仿宋" w:cs="仿宋"/>
          <w:kern w:val="0"/>
          <w:sz w:val="28"/>
          <w:szCs w:val="28"/>
          <w:lang w:val="en-US" w:eastAsia="zh-CN" w:bidi="ar"/>
        </w:rPr>
        <w:t>18个月</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经费预算：</w:t>
      </w:r>
      <w:r>
        <w:rPr>
          <w:rFonts w:hint="eastAsia" w:ascii="仿宋" w:hAnsi="仿宋" w:eastAsia="仿宋" w:cs="仿宋"/>
          <w:kern w:val="0"/>
          <w:sz w:val="28"/>
          <w:szCs w:val="28"/>
          <w:lang w:val="en-US" w:eastAsia="zh-CN" w:bidi="ar"/>
        </w:rPr>
        <w:t>8万元</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成果形式：</w:t>
      </w:r>
      <w:r>
        <w:rPr>
          <w:rFonts w:hint="eastAsia" w:ascii="仿宋" w:hAnsi="仿宋" w:eastAsia="仿宋" w:cs="仿宋"/>
          <w:kern w:val="0"/>
          <w:sz w:val="28"/>
          <w:szCs w:val="28"/>
          <w:lang w:val="en-US" w:eastAsia="zh-CN" w:bidi="ar"/>
        </w:rPr>
        <w:t>编制《天津市医保定点服务资源配置方案》</w:t>
      </w:r>
    </w:p>
    <w:p w14:paraId="22C30E0C">
      <w:pPr>
        <w:keepNext w:val="0"/>
        <w:keepLines w:val="0"/>
        <w:pageBreakBefore w:val="0"/>
        <w:tabs>
          <w:tab w:val="left" w:pos="1853"/>
        </w:tabs>
        <w:kinsoku/>
        <w:wordWrap/>
        <w:overflowPunct/>
        <w:topLinePunct w:val="0"/>
        <w:autoSpaceDE/>
        <w:autoSpaceDN/>
        <w:bidi w:val="0"/>
        <w:adjustRightInd/>
        <w:spacing w:line="580" w:lineRule="exact"/>
        <w:jc w:val="left"/>
        <w:textAlignment w:val="auto"/>
        <w:rPr>
          <w:rFonts w:hint="default"/>
          <w:lang w:val="en-US" w:eastAsia="zh-CN"/>
        </w:rPr>
      </w:pPr>
    </w:p>
    <w:p w14:paraId="01B77DCF">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kern w:val="0"/>
          <w:sz w:val="28"/>
          <w:szCs w:val="28"/>
          <w:lang w:val="en-US" w:eastAsia="zh-CN" w:bidi="ar"/>
        </w:rPr>
      </w:pPr>
      <w:r>
        <w:rPr>
          <w:rStyle w:val="6"/>
          <w:rFonts w:hint="eastAsia" w:ascii="仿宋" w:hAnsi="仿宋" w:eastAsia="仿宋" w:cs="仿宋"/>
          <w:kern w:val="0"/>
          <w:sz w:val="28"/>
          <w:szCs w:val="28"/>
          <w:lang w:val="en-US" w:eastAsia="zh-CN" w:bidi="ar"/>
        </w:rPr>
        <w:t>（三）支持创新药高质量发展背景下医保药品使用情况及趋势分析</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研究内容：</w:t>
      </w:r>
      <w:r>
        <w:rPr>
          <w:rFonts w:hint="eastAsia" w:ascii="仿宋" w:hAnsi="仿宋" w:eastAsia="仿宋" w:cs="仿宋"/>
          <w:kern w:val="0"/>
          <w:sz w:val="28"/>
          <w:szCs w:val="28"/>
          <w:lang w:val="en-US" w:eastAsia="zh-CN" w:bidi="ar"/>
        </w:rPr>
        <w:t>系统梳理天津市近年医保药品费用发生情况，研究国家医保谈判药品、集采药品以及其他重点类别药品在不同医药机构的费用变化趋势分析。</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研究周期：</w:t>
      </w:r>
      <w:r>
        <w:rPr>
          <w:rFonts w:hint="eastAsia" w:ascii="仿宋" w:hAnsi="仿宋" w:eastAsia="仿宋" w:cs="仿宋"/>
          <w:kern w:val="0"/>
          <w:sz w:val="28"/>
          <w:szCs w:val="28"/>
          <w:lang w:val="en-US" w:eastAsia="zh-CN" w:bidi="ar"/>
        </w:rPr>
        <w:t>6个月</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经费预算：</w:t>
      </w:r>
      <w:r>
        <w:rPr>
          <w:rFonts w:hint="eastAsia" w:ascii="仿宋" w:hAnsi="仿宋" w:eastAsia="仿宋" w:cs="仿宋"/>
          <w:kern w:val="0"/>
          <w:sz w:val="28"/>
          <w:szCs w:val="28"/>
          <w:lang w:val="en-US" w:eastAsia="zh-CN" w:bidi="ar"/>
        </w:rPr>
        <w:t>5万元</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成果形式：</w:t>
      </w:r>
      <w:r>
        <w:rPr>
          <w:rFonts w:hint="eastAsia" w:ascii="仿宋" w:hAnsi="仿宋" w:eastAsia="仿宋" w:cs="仿宋"/>
          <w:kern w:val="0"/>
          <w:sz w:val="28"/>
          <w:szCs w:val="28"/>
          <w:lang w:val="en-US" w:eastAsia="zh-CN" w:bidi="ar"/>
        </w:rPr>
        <w:t>分析报告</w:t>
      </w:r>
    </w:p>
    <w:p w14:paraId="098BEB1F">
      <w:pPr>
        <w:keepNext w:val="0"/>
        <w:keepLines w:val="0"/>
        <w:pageBreakBefore w:val="0"/>
        <w:tabs>
          <w:tab w:val="left" w:pos="1853"/>
        </w:tabs>
        <w:kinsoku/>
        <w:wordWrap/>
        <w:overflowPunct/>
        <w:topLinePunct w:val="0"/>
        <w:autoSpaceDE/>
        <w:autoSpaceDN/>
        <w:bidi w:val="0"/>
        <w:adjustRightInd/>
        <w:spacing w:line="580" w:lineRule="exact"/>
        <w:jc w:val="left"/>
        <w:textAlignment w:val="auto"/>
        <w:rPr>
          <w:rFonts w:hint="default"/>
          <w:lang w:val="en-US" w:eastAsia="zh-CN"/>
        </w:rPr>
      </w:pPr>
    </w:p>
    <w:p w14:paraId="76F9521B">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kern w:val="0"/>
          <w:sz w:val="28"/>
          <w:szCs w:val="28"/>
          <w:lang w:val="en-US" w:eastAsia="zh-CN" w:bidi="ar"/>
        </w:rPr>
      </w:pPr>
      <w:r>
        <w:rPr>
          <w:rStyle w:val="6"/>
          <w:rFonts w:hint="eastAsia" w:ascii="仿宋" w:hAnsi="仿宋" w:eastAsia="仿宋" w:cs="仿宋"/>
          <w:b/>
          <w:bCs w:val="0"/>
          <w:kern w:val="0"/>
          <w:sz w:val="28"/>
          <w:szCs w:val="28"/>
          <w:lang w:val="en-US" w:eastAsia="zh-CN" w:bidi="ar"/>
        </w:rPr>
        <w:t>（四）</w:t>
      </w:r>
      <w:r>
        <w:rPr>
          <w:rFonts w:hint="eastAsia" w:ascii="仿宋" w:hAnsi="仿宋" w:eastAsia="仿宋" w:cs="仿宋"/>
          <w:b/>
          <w:bCs w:val="0"/>
          <w:kern w:val="0"/>
          <w:sz w:val="28"/>
          <w:szCs w:val="28"/>
          <w:lang w:val="en-US" w:eastAsia="zh-CN" w:bidi="ar"/>
        </w:rPr>
        <w:t>医保医用耗材目录及支付标准政策在真实世界应用研究</w:t>
      </w:r>
      <w:r>
        <w:rPr>
          <w:rFonts w:hint="eastAsia" w:ascii="仿宋" w:hAnsi="仿宋" w:eastAsia="仿宋" w:cs="仿宋"/>
          <w:kern w:val="0"/>
          <w:sz w:val="28"/>
          <w:szCs w:val="28"/>
          <w:lang w:val="en-US" w:eastAsia="zh-CN" w:bidi="ar"/>
        </w:rPr>
        <w:br w:type="textWrapping"/>
      </w:r>
      <w:r>
        <w:rPr>
          <w:rFonts w:hint="eastAsia" w:ascii="仿宋" w:hAnsi="仿宋" w:eastAsia="仿宋" w:cs="仿宋"/>
          <w:b/>
          <w:bCs/>
          <w:kern w:val="0"/>
          <w:sz w:val="28"/>
          <w:szCs w:val="28"/>
          <w:lang w:val="en-US" w:eastAsia="zh-CN" w:bidi="ar"/>
        </w:rPr>
        <w:t>研究内容：</w:t>
      </w:r>
      <w:r>
        <w:rPr>
          <w:rFonts w:hint="eastAsia" w:ascii="仿宋" w:hAnsi="仿宋" w:eastAsia="仿宋" w:cs="仿宋"/>
          <w:kern w:val="0"/>
          <w:sz w:val="28"/>
          <w:szCs w:val="28"/>
          <w:lang w:val="en-US" w:eastAsia="zh-CN" w:bidi="ar"/>
        </w:rPr>
        <w:t>基于天津市往年医用耗材发生数据，通过经济学评价方式，科学评估医用耗材的价值、性价比和纳入医保后的影响，研究医保医用耗材目录及支付标准政策在真实世界的应用科学性，为天津市医保医用耗材制定医保支付标准提供参考依据。</w:t>
      </w:r>
      <w:bookmarkStart w:id="0" w:name="_GoBack"/>
      <w:bookmarkEnd w:id="0"/>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研究周期：</w:t>
      </w:r>
      <w:r>
        <w:rPr>
          <w:rFonts w:hint="eastAsia" w:ascii="仿宋" w:hAnsi="仿宋" w:eastAsia="仿宋" w:cs="仿宋"/>
          <w:kern w:val="0"/>
          <w:sz w:val="28"/>
          <w:szCs w:val="28"/>
          <w:lang w:val="en-US" w:eastAsia="zh-CN" w:bidi="ar"/>
        </w:rPr>
        <w:t>12个月</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经费预算：</w:t>
      </w:r>
      <w:r>
        <w:rPr>
          <w:rFonts w:hint="eastAsia" w:ascii="仿宋" w:hAnsi="仿宋" w:eastAsia="仿宋" w:cs="仿宋"/>
          <w:kern w:val="0"/>
          <w:sz w:val="28"/>
          <w:szCs w:val="28"/>
          <w:lang w:val="en-US" w:eastAsia="zh-CN" w:bidi="ar"/>
        </w:rPr>
        <w:t>8万元</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成果形式：</w:t>
      </w:r>
      <w:r>
        <w:rPr>
          <w:rFonts w:hint="eastAsia" w:ascii="仿宋" w:hAnsi="仿宋" w:eastAsia="仿宋" w:cs="仿宋"/>
          <w:kern w:val="0"/>
          <w:sz w:val="28"/>
          <w:szCs w:val="28"/>
          <w:lang w:val="en-US" w:eastAsia="zh-CN" w:bidi="ar"/>
        </w:rPr>
        <w:t>研究报告</w:t>
      </w:r>
    </w:p>
    <w:p w14:paraId="40F3281D">
      <w:pPr>
        <w:keepNext w:val="0"/>
        <w:keepLines w:val="0"/>
        <w:pageBreakBefore w:val="0"/>
        <w:tabs>
          <w:tab w:val="left" w:pos="1853"/>
        </w:tabs>
        <w:kinsoku/>
        <w:wordWrap/>
        <w:overflowPunct/>
        <w:topLinePunct w:val="0"/>
        <w:autoSpaceDE/>
        <w:autoSpaceDN/>
        <w:bidi w:val="0"/>
        <w:adjustRightInd/>
        <w:spacing w:line="580" w:lineRule="exact"/>
        <w:jc w:val="left"/>
        <w:textAlignment w:val="auto"/>
        <w:rPr>
          <w:rFonts w:hint="default"/>
          <w:lang w:val="en-US" w:eastAsia="zh-CN"/>
        </w:rPr>
      </w:pPr>
    </w:p>
    <w:p w14:paraId="7E294122">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kern w:val="0"/>
          <w:sz w:val="28"/>
          <w:szCs w:val="28"/>
          <w:lang w:val="en-US" w:eastAsia="zh-CN" w:bidi="ar"/>
        </w:rPr>
      </w:pPr>
      <w:r>
        <w:rPr>
          <w:rStyle w:val="6"/>
          <w:rFonts w:hint="eastAsia" w:ascii="仿宋" w:hAnsi="仿宋" w:eastAsia="仿宋" w:cs="仿宋"/>
          <w:b/>
          <w:bCs w:val="0"/>
          <w:kern w:val="0"/>
          <w:sz w:val="28"/>
          <w:szCs w:val="28"/>
          <w:lang w:val="en-US" w:eastAsia="zh-CN" w:bidi="ar"/>
        </w:rPr>
        <w:t>（五）</w:t>
      </w:r>
      <w:r>
        <w:rPr>
          <w:rFonts w:hint="eastAsia" w:ascii="仿宋" w:hAnsi="仿宋" w:eastAsia="仿宋" w:cs="仿宋"/>
          <w:b/>
          <w:bCs w:val="0"/>
          <w:kern w:val="0"/>
          <w:sz w:val="28"/>
          <w:szCs w:val="28"/>
          <w:lang w:val="en-US" w:eastAsia="zh-CN" w:bidi="ar"/>
        </w:rPr>
        <w:t>医疗服务价格动态调整评估及调价绩效评价</w:t>
      </w:r>
      <w:r>
        <w:rPr>
          <w:rFonts w:hint="eastAsia" w:ascii="仿宋" w:hAnsi="仿宋" w:eastAsia="仿宋" w:cs="仿宋"/>
          <w:kern w:val="0"/>
          <w:sz w:val="28"/>
          <w:szCs w:val="28"/>
          <w:lang w:val="en-US" w:eastAsia="zh-CN" w:bidi="ar"/>
        </w:rPr>
        <w:br w:type="textWrapping"/>
      </w:r>
      <w:r>
        <w:rPr>
          <w:rFonts w:hint="eastAsia" w:ascii="仿宋" w:hAnsi="仿宋" w:eastAsia="仿宋" w:cs="仿宋"/>
          <w:b/>
          <w:bCs/>
          <w:kern w:val="0"/>
          <w:sz w:val="28"/>
          <w:szCs w:val="28"/>
          <w:lang w:val="en-US" w:eastAsia="zh-CN" w:bidi="ar"/>
        </w:rPr>
        <w:t>研究内容：</w:t>
      </w:r>
      <w:r>
        <w:rPr>
          <w:rFonts w:hint="eastAsia" w:ascii="仿宋" w:hAnsi="仿宋" w:eastAsia="仿宋" w:cs="仿宋"/>
          <w:kern w:val="0"/>
          <w:sz w:val="28"/>
          <w:szCs w:val="28"/>
          <w:lang w:val="en-US" w:eastAsia="zh-CN" w:bidi="ar"/>
        </w:rPr>
        <w:t>通过对2025年天津市是否具备启动医疗服务价格动态调整条件进行科学评估，并提出价格调整方案模型，为科学决策提供参考依据。</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研究周期：</w:t>
      </w:r>
      <w:r>
        <w:rPr>
          <w:rFonts w:hint="eastAsia" w:ascii="仿宋" w:hAnsi="仿宋" w:eastAsia="仿宋" w:cs="仿宋"/>
          <w:kern w:val="0"/>
          <w:sz w:val="28"/>
          <w:szCs w:val="28"/>
          <w:lang w:val="en-US" w:eastAsia="zh-CN" w:bidi="ar"/>
        </w:rPr>
        <w:t>6个月</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经费预算：</w:t>
      </w:r>
      <w:r>
        <w:rPr>
          <w:rFonts w:hint="eastAsia" w:ascii="仿宋" w:hAnsi="仿宋" w:eastAsia="仿宋" w:cs="仿宋"/>
          <w:kern w:val="0"/>
          <w:sz w:val="28"/>
          <w:szCs w:val="28"/>
          <w:lang w:val="en-US" w:eastAsia="zh-CN" w:bidi="ar"/>
        </w:rPr>
        <w:t>5万元</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成果形式：</w:t>
      </w:r>
      <w:r>
        <w:rPr>
          <w:rFonts w:hint="eastAsia" w:ascii="仿宋" w:hAnsi="仿宋" w:eastAsia="仿宋" w:cs="仿宋"/>
          <w:kern w:val="0"/>
          <w:sz w:val="28"/>
          <w:szCs w:val="28"/>
          <w:lang w:val="en-US" w:eastAsia="zh-CN" w:bidi="ar"/>
        </w:rPr>
        <w:t>研究报告</w:t>
      </w:r>
    </w:p>
    <w:p w14:paraId="6435304F">
      <w:pPr>
        <w:keepNext w:val="0"/>
        <w:keepLines w:val="0"/>
        <w:pageBreakBefore w:val="0"/>
        <w:tabs>
          <w:tab w:val="left" w:pos="1853"/>
        </w:tabs>
        <w:kinsoku/>
        <w:wordWrap/>
        <w:overflowPunct/>
        <w:topLinePunct w:val="0"/>
        <w:autoSpaceDE/>
        <w:autoSpaceDN/>
        <w:bidi w:val="0"/>
        <w:adjustRightInd/>
        <w:spacing w:line="580" w:lineRule="exact"/>
        <w:jc w:val="left"/>
        <w:textAlignment w:val="auto"/>
        <w:rPr>
          <w:rFonts w:hint="default"/>
          <w:lang w:val="en-US" w:eastAsia="zh-CN"/>
        </w:rPr>
      </w:pPr>
    </w:p>
    <w:p w14:paraId="73A6E187">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kern w:val="0"/>
          <w:sz w:val="28"/>
          <w:szCs w:val="28"/>
          <w:lang w:val="en-US" w:eastAsia="zh-CN" w:bidi="ar"/>
        </w:rPr>
      </w:pPr>
      <w:r>
        <w:rPr>
          <w:rStyle w:val="6"/>
          <w:rFonts w:hint="eastAsia" w:ascii="仿宋" w:hAnsi="仿宋" w:eastAsia="仿宋" w:cs="仿宋"/>
          <w:b/>
          <w:bCs w:val="0"/>
          <w:kern w:val="0"/>
          <w:sz w:val="28"/>
          <w:szCs w:val="28"/>
          <w:lang w:val="en-US" w:eastAsia="zh-CN" w:bidi="ar"/>
        </w:rPr>
        <w:t>（六）</w:t>
      </w:r>
      <w:r>
        <w:rPr>
          <w:rFonts w:hint="eastAsia" w:ascii="仿宋" w:hAnsi="仿宋" w:eastAsia="仿宋" w:cs="仿宋"/>
          <w:b/>
          <w:bCs w:val="0"/>
          <w:kern w:val="0"/>
          <w:sz w:val="28"/>
          <w:szCs w:val="28"/>
          <w:lang w:val="en-US" w:eastAsia="zh-CN" w:bidi="ar"/>
        </w:rPr>
        <w:t>中医优势病组（种）付费方式改革研究</w:t>
      </w:r>
      <w:r>
        <w:rPr>
          <w:rFonts w:hint="eastAsia" w:ascii="仿宋" w:hAnsi="仿宋" w:eastAsia="仿宋" w:cs="仿宋"/>
          <w:kern w:val="0"/>
          <w:sz w:val="28"/>
          <w:szCs w:val="28"/>
          <w:lang w:val="en-US" w:eastAsia="zh-CN" w:bidi="ar"/>
        </w:rPr>
        <w:br w:type="textWrapping"/>
      </w:r>
      <w:r>
        <w:rPr>
          <w:rFonts w:hint="eastAsia" w:ascii="仿宋" w:hAnsi="仿宋" w:eastAsia="仿宋" w:cs="仿宋"/>
          <w:b/>
          <w:bCs/>
          <w:kern w:val="0"/>
          <w:sz w:val="28"/>
          <w:szCs w:val="28"/>
          <w:lang w:val="en-US" w:eastAsia="zh-CN" w:bidi="ar"/>
        </w:rPr>
        <w:t>研究内容：</w:t>
      </w:r>
      <w:r>
        <w:rPr>
          <w:rFonts w:hint="eastAsia" w:ascii="仿宋" w:hAnsi="仿宋" w:eastAsia="仿宋" w:cs="仿宋"/>
          <w:kern w:val="0"/>
          <w:sz w:val="28"/>
          <w:szCs w:val="28"/>
          <w:lang w:val="en-US" w:eastAsia="zh-CN" w:bidi="ar"/>
        </w:rPr>
        <w:t>研究确定“中医优势病组”的关键指标或病组遴选条件；比较分析天津市中医医疗机构当前运营效果以及模拟测算试行“中医优势病组”后的各中医医疗机构运营效果；研究制定关于中医优势病组运行成效考核的关键指标。</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研究周期：</w:t>
      </w:r>
      <w:r>
        <w:rPr>
          <w:rFonts w:hint="eastAsia" w:ascii="仿宋" w:hAnsi="仿宋" w:eastAsia="仿宋" w:cs="仿宋"/>
          <w:kern w:val="0"/>
          <w:sz w:val="28"/>
          <w:szCs w:val="28"/>
          <w:lang w:val="en-US" w:eastAsia="zh-CN" w:bidi="ar"/>
        </w:rPr>
        <w:t>12个月</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经费预算：</w:t>
      </w:r>
      <w:r>
        <w:rPr>
          <w:rFonts w:hint="eastAsia" w:ascii="仿宋" w:hAnsi="仿宋" w:eastAsia="仿宋" w:cs="仿宋"/>
          <w:kern w:val="0"/>
          <w:sz w:val="28"/>
          <w:szCs w:val="28"/>
          <w:lang w:val="en-US" w:eastAsia="zh-CN" w:bidi="ar"/>
        </w:rPr>
        <w:t>5万元</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成果形式：</w:t>
      </w:r>
      <w:r>
        <w:rPr>
          <w:rFonts w:hint="eastAsia" w:ascii="仿宋" w:hAnsi="仿宋" w:eastAsia="仿宋" w:cs="仿宋"/>
          <w:kern w:val="0"/>
          <w:sz w:val="28"/>
          <w:szCs w:val="28"/>
          <w:lang w:val="en-US" w:eastAsia="zh-CN" w:bidi="ar"/>
        </w:rPr>
        <w:t>工作方案及测算模型</w:t>
      </w:r>
    </w:p>
    <w:p w14:paraId="5B7148E2">
      <w:pPr>
        <w:keepNext w:val="0"/>
        <w:keepLines w:val="0"/>
        <w:pageBreakBefore w:val="0"/>
        <w:tabs>
          <w:tab w:val="left" w:pos="1853"/>
        </w:tabs>
        <w:kinsoku/>
        <w:wordWrap/>
        <w:overflowPunct/>
        <w:topLinePunct w:val="0"/>
        <w:autoSpaceDE/>
        <w:autoSpaceDN/>
        <w:bidi w:val="0"/>
        <w:adjustRightInd/>
        <w:spacing w:line="580" w:lineRule="exact"/>
        <w:jc w:val="left"/>
        <w:textAlignment w:val="auto"/>
        <w:rPr>
          <w:rFonts w:hint="default"/>
          <w:lang w:val="en-US" w:eastAsia="zh-CN"/>
        </w:rPr>
      </w:pPr>
    </w:p>
    <w:p w14:paraId="3951FAA6">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left"/>
        <w:textAlignment w:val="auto"/>
        <w:rPr>
          <w:rFonts w:hint="eastAsia" w:ascii="仿宋" w:hAnsi="仿宋" w:eastAsia="仿宋" w:cs="仿宋"/>
          <w:kern w:val="0"/>
          <w:sz w:val="28"/>
          <w:szCs w:val="28"/>
          <w:lang w:val="en-US" w:eastAsia="zh-CN" w:bidi="ar"/>
        </w:rPr>
      </w:pPr>
      <w:r>
        <w:rPr>
          <w:rStyle w:val="6"/>
          <w:rFonts w:hint="eastAsia" w:ascii="仿宋" w:hAnsi="仿宋" w:eastAsia="仿宋" w:cs="仿宋"/>
          <w:b/>
          <w:bCs w:val="0"/>
          <w:kern w:val="0"/>
          <w:sz w:val="28"/>
          <w:szCs w:val="28"/>
          <w:lang w:val="en-US" w:eastAsia="zh-CN" w:bidi="ar"/>
        </w:rPr>
        <w:t>（七）</w:t>
      </w:r>
      <w:r>
        <w:rPr>
          <w:rFonts w:hint="eastAsia" w:ascii="仿宋" w:hAnsi="仿宋" w:eastAsia="仿宋" w:cs="仿宋"/>
          <w:b/>
          <w:bCs w:val="0"/>
          <w:kern w:val="0"/>
          <w:sz w:val="28"/>
          <w:szCs w:val="28"/>
          <w:lang w:val="en-US" w:eastAsia="zh-CN" w:bidi="ar"/>
        </w:rPr>
        <w:t>完善天津市DRG/DIP基础病组目录研究</w:t>
      </w:r>
      <w:r>
        <w:rPr>
          <w:rFonts w:hint="eastAsia" w:ascii="仿宋" w:hAnsi="仿宋" w:eastAsia="仿宋" w:cs="仿宋"/>
          <w:kern w:val="0"/>
          <w:sz w:val="28"/>
          <w:szCs w:val="28"/>
          <w:lang w:val="en-US" w:eastAsia="zh-CN" w:bidi="ar"/>
        </w:rPr>
        <w:br w:type="textWrapping"/>
      </w:r>
      <w:r>
        <w:rPr>
          <w:rFonts w:hint="eastAsia" w:ascii="仿宋" w:hAnsi="仿宋" w:eastAsia="仿宋" w:cs="仿宋"/>
          <w:b/>
          <w:bCs/>
          <w:kern w:val="0"/>
          <w:sz w:val="28"/>
          <w:szCs w:val="28"/>
          <w:lang w:val="en-US" w:eastAsia="zh-CN" w:bidi="ar"/>
        </w:rPr>
        <w:t>研究内容：</w:t>
      </w:r>
      <w:r>
        <w:rPr>
          <w:rFonts w:hint="eastAsia" w:ascii="仿宋" w:hAnsi="仿宋" w:eastAsia="仿宋" w:cs="仿宋"/>
          <w:kern w:val="0"/>
          <w:sz w:val="28"/>
          <w:szCs w:val="28"/>
          <w:lang w:val="en-US" w:eastAsia="zh-CN" w:bidi="ar"/>
        </w:rPr>
        <w:t>分析新版分组方案运行以来，天津市各DRG/DIP病组就医人次、就医流向的变化趋势；从医疗机构、各DRG/DIP病组以及“医疗机构-病组”等维度分析费用水平以及运营成效；研究、筛选多项审核/评价指标，分别组建用于筛选基础病组和观测运行成效的数据模型。</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研究周期：</w:t>
      </w:r>
      <w:r>
        <w:rPr>
          <w:rFonts w:hint="eastAsia" w:ascii="仿宋" w:hAnsi="仿宋" w:eastAsia="仿宋" w:cs="仿宋"/>
          <w:kern w:val="0"/>
          <w:sz w:val="28"/>
          <w:szCs w:val="28"/>
          <w:lang w:val="en-US" w:eastAsia="zh-CN" w:bidi="ar"/>
        </w:rPr>
        <w:t>12个月</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经费预算：</w:t>
      </w:r>
      <w:r>
        <w:rPr>
          <w:rFonts w:hint="eastAsia" w:ascii="仿宋" w:hAnsi="仿宋" w:eastAsia="仿宋" w:cs="仿宋"/>
          <w:kern w:val="0"/>
          <w:sz w:val="28"/>
          <w:szCs w:val="28"/>
          <w:lang w:val="en-US" w:eastAsia="zh-CN" w:bidi="ar"/>
        </w:rPr>
        <w:t>5万元</w:t>
      </w:r>
      <w:r>
        <w:rPr>
          <w:rFonts w:hint="eastAsia" w:ascii="仿宋" w:hAnsi="仿宋" w:eastAsia="仿宋" w:cs="仿宋"/>
          <w:kern w:val="0"/>
          <w:sz w:val="28"/>
          <w:szCs w:val="28"/>
          <w:lang w:val="en-US" w:eastAsia="zh-CN" w:bidi="ar"/>
        </w:rPr>
        <w:br w:type="textWrapping"/>
      </w:r>
      <w:r>
        <w:rPr>
          <w:rStyle w:val="6"/>
          <w:rFonts w:hint="eastAsia" w:ascii="仿宋" w:hAnsi="仿宋" w:eastAsia="仿宋" w:cs="仿宋"/>
          <w:kern w:val="0"/>
          <w:sz w:val="28"/>
          <w:szCs w:val="28"/>
          <w:lang w:val="en-US" w:eastAsia="zh-CN" w:bidi="ar"/>
        </w:rPr>
        <w:t>成果形式：</w:t>
      </w:r>
      <w:r>
        <w:rPr>
          <w:rFonts w:hint="eastAsia" w:ascii="仿宋" w:hAnsi="仿宋" w:eastAsia="仿宋" w:cs="仿宋"/>
          <w:kern w:val="0"/>
          <w:sz w:val="28"/>
          <w:szCs w:val="28"/>
          <w:lang w:val="en-US" w:eastAsia="zh-CN" w:bidi="ar"/>
        </w:rPr>
        <w:t>工作方案及数据模型</w:t>
      </w:r>
    </w:p>
    <w:p w14:paraId="15119056">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jc w:val="left"/>
        <w:textAlignment w:val="auto"/>
        <w:rPr>
          <w:rFonts w:hint="eastAsia" w:ascii="黑体" w:hAnsi="黑体" w:eastAsia="黑体" w:cs="黑体"/>
          <w:b w:val="0"/>
          <w:bCs/>
          <w:sz w:val="32"/>
          <w:szCs w:val="32"/>
          <w:lang w:val="en-US" w:eastAsia="zh-CN"/>
        </w:rPr>
      </w:pPr>
    </w:p>
    <w:p w14:paraId="15BEFCD9">
      <w:pPr>
        <w:spacing w:line="240" w:lineRule="auto"/>
      </w:pPr>
      <w:r>
        <w:rPr>
          <w:rFonts w:hint="eastAsia" w:ascii="黑体" w:hAnsi="黑体" w:eastAsia="黑体"/>
          <w:sz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1CB2"/>
    <w:rsid w:val="009224FE"/>
    <w:rsid w:val="07CA1481"/>
    <w:rsid w:val="07DC0503"/>
    <w:rsid w:val="097053A7"/>
    <w:rsid w:val="0CB63A18"/>
    <w:rsid w:val="0D046532"/>
    <w:rsid w:val="0D1D75F3"/>
    <w:rsid w:val="0F8B1DF3"/>
    <w:rsid w:val="0FB25962"/>
    <w:rsid w:val="0FCD7C01"/>
    <w:rsid w:val="13A75E69"/>
    <w:rsid w:val="14774EDC"/>
    <w:rsid w:val="1CF545A5"/>
    <w:rsid w:val="1E3A6ABB"/>
    <w:rsid w:val="20191E9C"/>
    <w:rsid w:val="2113671B"/>
    <w:rsid w:val="23BC326A"/>
    <w:rsid w:val="25197724"/>
    <w:rsid w:val="2B313934"/>
    <w:rsid w:val="2E05135E"/>
    <w:rsid w:val="2FA26CFD"/>
    <w:rsid w:val="2FEC77AD"/>
    <w:rsid w:val="33C87A09"/>
    <w:rsid w:val="341D4AEE"/>
    <w:rsid w:val="34220D0B"/>
    <w:rsid w:val="35674601"/>
    <w:rsid w:val="393B2A2C"/>
    <w:rsid w:val="3A6E7C63"/>
    <w:rsid w:val="3BB840E2"/>
    <w:rsid w:val="3E8975D6"/>
    <w:rsid w:val="3F09746E"/>
    <w:rsid w:val="3FD65DA4"/>
    <w:rsid w:val="42E973FB"/>
    <w:rsid w:val="438D1444"/>
    <w:rsid w:val="43B42B79"/>
    <w:rsid w:val="455F6E67"/>
    <w:rsid w:val="47C604F9"/>
    <w:rsid w:val="490C7F41"/>
    <w:rsid w:val="496F1CCB"/>
    <w:rsid w:val="497C6E74"/>
    <w:rsid w:val="4BBE1DB8"/>
    <w:rsid w:val="4C296D11"/>
    <w:rsid w:val="4C8863D0"/>
    <w:rsid w:val="4FC13833"/>
    <w:rsid w:val="53723A04"/>
    <w:rsid w:val="598B41D8"/>
    <w:rsid w:val="5CEE19DF"/>
    <w:rsid w:val="5D076F23"/>
    <w:rsid w:val="62606EDB"/>
    <w:rsid w:val="6367429A"/>
    <w:rsid w:val="64164478"/>
    <w:rsid w:val="66E53E53"/>
    <w:rsid w:val="68CC0909"/>
    <w:rsid w:val="68D20407"/>
    <w:rsid w:val="69F83E9D"/>
    <w:rsid w:val="6A35249A"/>
    <w:rsid w:val="6AE6019A"/>
    <w:rsid w:val="6BDF70C3"/>
    <w:rsid w:val="6BE85C32"/>
    <w:rsid w:val="6C661592"/>
    <w:rsid w:val="6F926B42"/>
    <w:rsid w:val="704E4817"/>
    <w:rsid w:val="72C708B1"/>
    <w:rsid w:val="73675F49"/>
    <w:rsid w:val="73E55492"/>
    <w:rsid w:val="7544443B"/>
    <w:rsid w:val="756A062E"/>
    <w:rsid w:val="79667543"/>
    <w:rsid w:val="7A862E00"/>
    <w:rsid w:val="7BDC0473"/>
    <w:rsid w:val="7CBE372F"/>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Strong"/>
    <w:basedOn w:val="5"/>
    <w:qFormat/>
    <w:uiPriority w:val="0"/>
    <w:rPr>
      <w:b/>
    </w:rPr>
  </w:style>
  <w:style w:type="character" w:styleId="7">
    <w:name w:val="page number"/>
    <w:basedOn w:val="5"/>
    <w:qFormat/>
    <w:uiPriority w:val="0"/>
  </w:style>
  <w:style w:type="paragraph" w:customStyle="1" w:styleId="8">
    <w:name w:val="Body text|1"/>
    <w:next w:val="2"/>
    <w:qFormat/>
    <w:uiPriority w:val="0"/>
    <w:pPr>
      <w:widowControl w:val="0"/>
      <w:spacing w:line="394" w:lineRule="auto"/>
      <w:ind w:firstLine="350"/>
      <w:jc w:val="both"/>
    </w:pPr>
    <w:rPr>
      <w:rFonts w:ascii="宋体" w:hAnsi="Times New Roman" w:eastAsia="宋体" w:cs="Times New Roman"/>
      <w:kern w:val="2"/>
      <w:sz w:val="30"/>
      <w:szCs w:val="3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1055</Words>
  <Characters>1084</Characters>
  <Lines>0</Lines>
  <Paragraphs>0</Paragraphs>
  <TotalTime>210</TotalTime>
  <ScaleCrop>false</ScaleCrop>
  <LinksUpToDate>false</LinksUpToDate>
  <CharactersWithSpaces>1092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2025-05-28T10:32:00Z</dcterms:created>
  <dc:creator>Customer</dc:creator>
  <cp:lastModifiedBy>小良</cp:lastModifiedBy>
  <dcterms:modified xsi:type="dcterms:W3CDTF">2025-06-27T07:44:46Z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eyJoZGlkIjoiNmYzNmJiZDg4MjEwMTI3NjI2MmY3YTkzMGQ1YzA4ZTYiLCJ1c2VySWQiOiI1MjMxMTk4NjAifQ==</vt:lpwstr>
  </property>
  <property fmtid="{D5CDD505-2E9C-101B-9397-08002B2CF9AE}" pid="4" name="ICV">
    <vt:lpwstr>2A97543EC95A4EDEAB5AC1D3A157EEB9_12</vt:lpwstr>
  </property>
</Properties>
</file>