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900" w:lineRule="exact"/>
        <w:rPr>
          <w:rFonts w:eastAsia="文星简小标宋"/>
          <w:color w:val="FF0000"/>
          <w:spacing w:val="-12"/>
          <w:w w:val="64"/>
          <w:sz w:val="92"/>
          <w:szCs w:val="92"/>
        </w:rPr>
      </w:pPr>
    </w:p>
    <w:p>
      <w:pPr>
        <w:adjustRightInd w:val="0"/>
        <w:spacing w:line="1180" w:lineRule="exact"/>
        <w:ind w:left="210" w:leftChars="100" w:right="1359" w:rightChars="647"/>
        <w:jc w:val="distribute"/>
        <w:rPr>
          <w:rFonts w:ascii="方正小标宋简体" w:eastAsia="方正小标宋简体"/>
          <w:snapToGrid w:val="0"/>
          <w:color w:val="FF0000"/>
          <w:w w:val="50"/>
          <w:kern w:val="0"/>
          <w:sz w:val="112"/>
          <w:szCs w:val="112"/>
        </w:rPr>
      </w:pPr>
      <w:r>
        <w:pict>
          <v:rect id="_x0000_s1026" o:spid="_x0000_s1026" o:spt="1" style="position:absolute;left:0pt;margin-left:371.15pt;margin-top:44.25pt;height:84pt;width:92.25pt;z-index:1024;mso-width-relative:page;mso-height-relative:page;" filled="f" stroked="f" coordsize="21600,21600">
            <v:path/>
            <v:fill on="f" focussize="0,0"/>
            <v:stroke on="f"/>
            <v:imagedata o:title=""/>
            <o:lock v:ext="edit"/>
            <v:textbox>
              <w:txbxContent>
                <w:p>
                  <w:pPr>
                    <w:spacing w:line="1400" w:lineRule="exact"/>
                    <w:rPr>
                      <w:rFonts w:ascii="方正小标宋简体" w:hAnsi="宋体" w:eastAsia="方正小标宋简体"/>
                      <w:color w:val="FF0000"/>
                      <w:spacing w:val="-40"/>
                      <w:sz w:val="120"/>
                      <w:szCs w:val="120"/>
                    </w:rPr>
                  </w:pPr>
                  <w:r>
                    <w:rPr>
                      <w:rFonts w:hint="eastAsia" w:ascii="方正小标宋简体" w:hAnsi="宋体" w:eastAsia="方正小标宋简体"/>
                      <w:bCs/>
                      <w:snapToGrid w:val="0"/>
                      <w:color w:val="FF0000"/>
                      <w:spacing w:val="-40"/>
                      <w:w w:val="70"/>
                      <w:kern w:val="0"/>
                      <w:sz w:val="120"/>
                      <w:szCs w:val="120"/>
                    </w:rPr>
                    <w:t>文</w:t>
                  </w:r>
                  <w:r>
                    <w:rPr>
                      <w:rFonts w:hint="eastAsia" w:ascii="方正小标宋简体" w:hAnsi="宋体" w:eastAsia="方正小标宋简体"/>
                      <w:bCs/>
                      <w:color w:val="FF0000"/>
                      <w:spacing w:val="-40"/>
                      <w:w w:val="70"/>
                      <w:sz w:val="120"/>
                      <w:szCs w:val="120"/>
                    </w:rPr>
                    <w:t>件</w:t>
                  </w:r>
                </w:p>
              </w:txbxContent>
            </v:textbox>
          </v:rect>
        </w:pict>
      </w:r>
      <w:r>
        <w:rPr>
          <w:rFonts w:hint="eastAsia" w:ascii="方正小标宋简体" w:eastAsia="方正小标宋简体"/>
          <w:snapToGrid w:val="0"/>
          <w:color w:val="FF0000"/>
          <w:w w:val="50"/>
          <w:kern w:val="0"/>
          <w:sz w:val="112"/>
          <w:szCs w:val="112"/>
        </w:rPr>
        <w:t>天津市医疗保障局</w:t>
      </w:r>
    </w:p>
    <w:p>
      <w:pPr>
        <w:adjustRightInd w:val="0"/>
        <w:spacing w:line="1180" w:lineRule="exact"/>
        <w:ind w:left="210" w:leftChars="100" w:right="1359" w:rightChars="647"/>
        <w:jc w:val="distribute"/>
        <w:rPr>
          <w:rFonts w:ascii="方正小标宋简体" w:eastAsia="方正小标宋简体"/>
          <w:snapToGrid w:val="0"/>
          <w:color w:val="FF0000"/>
          <w:w w:val="50"/>
          <w:sz w:val="112"/>
          <w:szCs w:val="112"/>
        </w:rPr>
      </w:pPr>
      <w:r>
        <w:rPr>
          <w:rFonts w:hint="eastAsia" w:ascii="方正小标宋简体" w:eastAsia="方正小标宋简体"/>
          <w:snapToGrid w:val="0"/>
          <w:color w:val="FF0000"/>
          <w:w w:val="50"/>
          <w:sz w:val="112"/>
          <w:szCs w:val="112"/>
        </w:rPr>
        <w:t>天津市民政局</w:t>
      </w:r>
    </w:p>
    <w:p>
      <w:pPr>
        <w:adjustRightInd w:val="0"/>
        <w:spacing w:line="1180" w:lineRule="exact"/>
        <w:ind w:left="210" w:leftChars="100" w:right="1359" w:rightChars="647"/>
        <w:jc w:val="distribute"/>
        <w:rPr>
          <w:rFonts w:ascii="方正小标宋简体" w:eastAsia="方正小标宋简体"/>
          <w:snapToGrid w:val="0"/>
          <w:color w:val="FF0000"/>
          <w:w w:val="50"/>
          <w:sz w:val="112"/>
          <w:szCs w:val="112"/>
        </w:rPr>
      </w:pPr>
      <w:r>
        <w:rPr>
          <w:rFonts w:hint="eastAsia" w:ascii="方正小标宋简体" w:eastAsia="方正小标宋简体"/>
          <w:snapToGrid w:val="0"/>
          <w:color w:val="FF0000"/>
          <w:w w:val="50"/>
          <w:sz w:val="112"/>
          <w:szCs w:val="112"/>
        </w:rPr>
        <w:t>天津市卫生健康委员会</w:t>
      </w:r>
    </w:p>
    <w:p>
      <w:pPr>
        <w:rPr>
          <w:rFonts w:eastAsia="仿宋_GB2312"/>
          <w:b/>
          <w:color w:val="000000"/>
          <w:sz w:val="44"/>
          <w:szCs w:val="44"/>
        </w:rPr>
      </w:pPr>
    </w:p>
    <w:p>
      <w:pPr>
        <w:jc w:val="center"/>
        <w:rPr>
          <w:rFonts w:eastAsia="仿宋_GB2312"/>
          <w:color w:val="000000"/>
          <w:sz w:val="32"/>
          <w:szCs w:val="32"/>
        </w:rPr>
      </w:pPr>
      <w:r>
        <w:rPr>
          <w:rFonts w:hint="eastAsia" w:eastAsia="仿宋_GB2312"/>
          <w:color w:val="000000"/>
          <w:sz w:val="32"/>
          <w:szCs w:val="32"/>
        </w:rPr>
        <w:t>津医保规字〔</w:t>
      </w:r>
      <w:r>
        <w:rPr>
          <w:rFonts w:eastAsia="仿宋_GB2312"/>
          <w:color w:val="000000"/>
          <w:sz w:val="32"/>
          <w:szCs w:val="32"/>
        </w:rPr>
        <w:t>2021</w:t>
      </w:r>
      <w:r>
        <w:rPr>
          <w:rFonts w:hint="eastAsia" w:eastAsia="仿宋_GB2312"/>
          <w:color w:val="000000"/>
          <w:sz w:val="32"/>
          <w:szCs w:val="32"/>
        </w:rPr>
        <w:t>〕</w:t>
      </w:r>
      <w:r>
        <w:rPr>
          <w:rFonts w:eastAsia="仿宋_GB2312"/>
          <w:color w:val="000000"/>
          <w:sz w:val="32"/>
          <w:szCs w:val="32"/>
        </w:rPr>
        <w:t>2</w:t>
      </w:r>
      <w:r>
        <w:rPr>
          <w:rFonts w:hint="eastAsia" w:eastAsia="仿宋_GB2312"/>
          <w:color w:val="000000"/>
          <w:sz w:val="32"/>
          <w:szCs w:val="32"/>
        </w:rPr>
        <w:t>号</w:t>
      </w:r>
    </w:p>
    <w:p>
      <w:pPr>
        <w:spacing w:line="560" w:lineRule="exact"/>
        <w:rPr>
          <w:b/>
          <w:kern w:val="0"/>
          <w:sz w:val="34"/>
        </w:rPr>
      </w:pPr>
      <w:r>
        <w:pict>
          <v:line id="直线 33" o:spid="_x0000_s1027" o:spt="20" style="position:absolute;left:0pt;margin-left:-5.95pt;margin-top:4.35pt;height:0pt;width:453.25pt;z-index:1024;mso-width-relative:page;mso-height-relative:page;" stroked="t" coordsize="21600,21600">
            <v:path arrowok="t"/>
            <v:fill focussize="0,0"/>
            <v:stroke weight="2.25pt" color="#FF0000"/>
            <v:imagedata o:title=""/>
            <o:lock v:ext="edit"/>
          </v:line>
        </w:pict>
      </w:r>
    </w:p>
    <w:p>
      <w:pPr>
        <w:pStyle w:val="8"/>
        <w:spacing w:line="578" w:lineRule="exact"/>
        <w:rPr>
          <w:rFonts w:eastAsia="方正小标宋简体"/>
          <w:bCs/>
          <w:szCs w:val="44"/>
        </w:rPr>
      </w:pPr>
      <w:r>
        <w:rPr>
          <w:rFonts w:hint="eastAsia" w:eastAsia="方正小标宋简体"/>
          <w:bCs/>
          <w:szCs w:val="44"/>
        </w:rPr>
        <w:t>市医保局</w:t>
      </w:r>
      <w:r>
        <w:rPr>
          <w:rFonts w:eastAsia="方正小标宋简体"/>
          <w:bCs/>
          <w:szCs w:val="44"/>
        </w:rPr>
        <w:t xml:space="preserve"> </w:t>
      </w:r>
      <w:r>
        <w:rPr>
          <w:rFonts w:hint="eastAsia" w:eastAsia="方正小标宋简体"/>
          <w:bCs/>
          <w:szCs w:val="44"/>
        </w:rPr>
        <w:t>市民政局</w:t>
      </w:r>
      <w:r>
        <w:rPr>
          <w:rFonts w:eastAsia="方正小标宋简体"/>
          <w:bCs/>
          <w:szCs w:val="44"/>
        </w:rPr>
        <w:t xml:space="preserve"> </w:t>
      </w:r>
      <w:r>
        <w:rPr>
          <w:rFonts w:hint="eastAsia" w:eastAsia="方正小标宋简体"/>
          <w:bCs/>
          <w:szCs w:val="44"/>
        </w:rPr>
        <w:t>市卫生健康委关于印发《天津市长期护理保险失能评定管理</w:t>
      </w:r>
    </w:p>
    <w:p>
      <w:pPr>
        <w:pStyle w:val="8"/>
        <w:spacing w:line="578" w:lineRule="exact"/>
        <w:rPr>
          <w:rFonts w:eastAsia="方正小标宋简体"/>
          <w:bCs/>
          <w:szCs w:val="44"/>
        </w:rPr>
      </w:pPr>
      <w:r>
        <w:rPr>
          <w:rFonts w:hint="eastAsia" w:eastAsia="方正小标宋简体"/>
          <w:bCs/>
          <w:szCs w:val="44"/>
        </w:rPr>
        <w:t>办法（试行）》的通知</w:t>
      </w:r>
    </w:p>
    <w:p>
      <w:pPr>
        <w:pStyle w:val="8"/>
        <w:spacing w:line="300" w:lineRule="exact"/>
        <w:rPr>
          <w:rFonts w:eastAsia="方正小标宋简体"/>
          <w:bCs/>
          <w:szCs w:val="44"/>
        </w:rPr>
      </w:pPr>
    </w:p>
    <w:p>
      <w:pPr>
        <w:spacing w:line="578" w:lineRule="exact"/>
        <w:rPr>
          <w:rFonts w:eastAsia="仿宋_GB2312"/>
          <w:color w:val="000000"/>
          <w:sz w:val="32"/>
          <w:szCs w:val="32"/>
        </w:rPr>
      </w:pPr>
      <w:r>
        <w:rPr>
          <w:rFonts w:hint="eastAsia" w:eastAsia="仿宋_GB2312"/>
          <w:color w:val="000000"/>
          <w:sz w:val="32"/>
          <w:szCs w:val="32"/>
        </w:rPr>
        <w:t>各区医保局、民政局、卫生健康委，各有关单位：</w:t>
      </w:r>
    </w:p>
    <w:p>
      <w:pPr>
        <w:spacing w:line="578" w:lineRule="exact"/>
        <w:ind w:firstLine="640" w:firstLineChars="200"/>
        <w:rPr>
          <w:rFonts w:eastAsia="仿宋_GB2312"/>
          <w:color w:val="000000"/>
          <w:sz w:val="32"/>
          <w:szCs w:val="32"/>
        </w:rPr>
      </w:pPr>
      <w:r>
        <w:rPr>
          <w:rFonts w:hint="eastAsia" w:eastAsia="仿宋_GB2312"/>
          <w:color w:val="000000"/>
          <w:sz w:val="32"/>
          <w:szCs w:val="32"/>
        </w:rPr>
        <w:t>现将《天津市长期护理保险失能评定管理办法（试行）》印发给你们。请遵照执行。</w:t>
      </w:r>
    </w:p>
    <w:p>
      <w:pPr>
        <w:spacing w:line="578" w:lineRule="exact"/>
        <w:ind w:firstLine="640" w:firstLineChars="200"/>
        <w:rPr>
          <w:rFonts w:eastAsia="仿宋_GB2312"/>
          <w:color w:val="000000"/>
          <w:sz w:val="32"/>
          <w:szCs w:val="32"/>
        </w:rPr>
      </w:pPr>
      <w:r>
        <w:rPr>
          <w:rFonts w:eastAsia="仿宋_GB2312"/>
          <w:color w:val="000000"/>
          <w:sz w:val="32"/>
          <w:szCs w:val="32"/>
        </w:rPr>
        <w:t xml:space="preserve"> </w:t>
      </w:r>
    </w:p>
    <w:p>
      <w:pPr>
        <w:spacing w:line="578" w:lineRule="exact"/>
        <w:ind w:firstLine="640" w:firstLineChars="200"/>
        <w:rPr>
          <w:rFonts w:eastAsia="仿宋_GB2312"/>
          <w:color w:val="000000"/>
          <w:sz w:val="32"/>
          <w:szCs w:val="32"/>
        </w:rPr>
      </w:pPr>
      <w:r>
        <w:rPr>
          <w:rFonts w:eastAsia="仿宋_GB2312"/>
          <w:color w:val="000000"/>
          <w:sz w:val="32"/>
          <w:szCs w:val="32"/>
        </w:rPr>
        <w:t xml:space="preserve"> </w:t>
      </w:r>
    </w:p>
    <w:p>
      <w:pPr>
        <w:spacing w:line="578" w:lineRule="exact"/>
        <w:ind w:firstLine="640" w:firstLineChars="200"/>
        <w:rPr>
          <w:rFonts w:eastAsia="仿宋_GB2312"/>
          <w:color w:val="000000"/>
          <w:sz w:val="32"/>
          <w:szCs w:val="32"/>
        </w:rPr>
      </w:pPr>
      <w:r>
        <w:rPr>
          <w:rFonts w:hint="eastAsia" w:eastAsia="仿宋_GB2312"/>
          <w:color w:val="000000"/>
          <w:sz w:val="32"/>
          <w:szCs w:val="32"/>
        </w:rPr>
        <w:t>市医保局</w:t>
      </w:r>
      <w:r>
        <w:rPr>
          <w:rFonts w:eastAsia="仿宋_GB2312"/>
          <w:color w:val="000000"/>
          <w:sz w:val="32"/>
          <w:szCs w:val="32"/>
        </w:rPr>
        <w:t xml:space="preserve">        </w:t>
      </w:r>
      <w:r>
        <w:rPr>
          <w:rFonts w:hint="eastAsia" w:eastAsia="仿宋_GB2312"/>
          <w:color w:val="000000"/>
          <w:sz w:val="32"/>
          <w:szCs w:val="32"/>
          <w:lang w:val="en-US" w:eastAsia="zh-CN"/>
        </w:rPr>
        <w:t xml:space="preserve"> </w:t>
      </w:r>
      <w:r>
        <w:rPr>
          <w:rFonts w:eastAsia="仿宋_GB2312"/>
          <w:color w:val="000000"/>
          <w:sz w:val="32"/>
          <w:szCs w:val="32"/>
        </w:rPr>
        <w:t xml:space="preserve"> </w:t>
      </w:r>
      <w:r>
        <w:rPr>
          <w:rFonts w:hint="eastAsia" w:eastAsia="仿宋_GB2312"/>
          <w:color w:val="000000"/>
          <w:sz w:val="32"/>
          <w:szCs w:val="32"/>
        </w:rPr>
        <w:t>市民政局</w:t>
      </w:r>
      <w:r>
        <w:rPr>
          <w:rFonts w:eastAsia="仿宋_GB2312"/>
          <w:color w:val="000000"/>
          <w:sz w:val="32"/>
          <w:szCs w:val="32"/>
        </w:rPr>
        <w:t xml:space="preserve">         </w:t>
      </w:r>
      <w:r>
        <w:rPr>
          <w:rFonts w:hint="eastAsia" w:eastAsia="仿宋_GB2312"/>
          <w:color w:val="000000"/>
          <w:sz w:val="32"/>
          <w:szCs w:val="32"/>
        </w:rPr>
        <w:t>市卫生健康委</w:t>
      </w:r>
      <w:r>
        <w:rPr>
          <w:rFonts w:eastAsia="仿宋_GB2312"/>
          <w:color w:val="000000"/>
          <w:sz w:val="32"/>
          <w:szCs w:val="32"/>
        </w:rPr>
        <w:t xml:space="preserve"> </w:t>
      </w:r>
    </w:p>
    <w:p>
      <w:pPr>
        <w:spacing w:line="578" w:lineRule="exact"/>
        <w:ind w:firstLine="640" w:firstLineChars="200"/>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lang w:val="en-US" w:eastAsia="zh-CN"/>
        </w:rPr>
        <w:t xml:space="preserve">   </w:t>
      </w:r>
      <w:r>
        <w:rPr>
          <w:rFonts w:eastAsia="仿宋_GB2312"/>
          <w:color w:val="000000"/>
          <w:sz w:val="32"/>
          <w:szCs w:val="32"/>
        </w:rPr>
        <w:t>2021</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hint="eastAsia" w:eastAsia="仿宋_GB2312"/>
          <w:color w:val="000000"/>
          <w:sz w:val="32"/>
          <w:szCs w:val="32"/>
          <w:lang w:val="en-US" w:eastAsia="zh-CN"/>
        </w:rPr>
        <w:t>22</w:t>
      </w:r>
      <w:r>
        <w:rPr>
          <w:rFonts w:hint="eastAsia" w:eastAsia="仿宋_GB2312"/>
          <w:color w:val="000000"/>
          <w:sz w:val="32"/>
          <w:szCs w:val="32"/>
        </w:rPr>
        <w:t>日</w:t>
      </w:r>
    </w:p>
    <w:p>
      <w:pPr>
        <w:spacing w:line="578" w:lineRule="exact"/>
        <w:ind w:firstLine="640" w:firstLineChars="200"/>
        <w:rPr>
          <w:rFonts w:eastAsia="仿宋_GB2312"/>
          <w:color w:val="000000"/>
          <w:sz w:val="32"/>
          <w:szCs w:val="32"/>
        </w:rPr>
      </w:pPr>
      <w:r>
        <w:rPr>
          <w:rFonts w:hint="eastAsia" w:eastAsia="仿宋_GB2312"/>
          <w:color w:val="000000"/>
          <w:sz w:val="32"/>
          <w:szCs w:val="32"/>
        </w:rPr>
        <w:t>（此件主动公开）</w:t>
      </w:r>
    </w:p>
    <w:p>
      <w:pPr>
        <w:spacing w:line="578" w:lineRule="exact"/>
        <w:jc w:val="center"/>
        <w:rPr>
          <w:rFonts w:eastAsia="黑体"/>
          <w:sz w:val="32"/>
          <w:szCs w:val="32"/>
        </w:rPr>
      </w:pPr>
      <w:r>
        <w:rPr>
          <w:rFonts w:hint="eastAsia" w:hAnsi="Calibri" w:eastAsia="方正小标宋简体"/>
          <w:sz w:val="44"/>
          <w:szCs w:val="44"/>
        </w:rPr>
        <w:t>天津市长期护理保险失能评定</w:t>
      </w:r>
    </w:p>
    <w:p>
      <w:pPr>
        <w:spacing w:line="578" w:lineRule="exact"/>
        <w:jc w:val="center"/>
        <w:rPr>
          <w:rFonts w:eastAsia="方正小标宋简体"/>
          <w:sz w:val="44"/>
          <w:szCs w:val="44"/>
        </w:rPr>
      </w:pPr>
      <w:r>
        <w:rPr>
          <w:rFonts w:hint="eastAsia" w:hAnsi="Calibri" w:eastAsia="方正小标宋简体"/>
          <w:sz w:val="44"/>
          <w:szCs w:val="44"/>
        </w:rPr>
        <w:t>管理办法（试行）</w:t>
      </w:r>
    </w:p>
    <w:p>
      <w:pPr>
        <w:spacing w:line="578" w:lineRule="exact"/>
        <w:ind w:firstLine="640"/>
        <w:rPr>
          <w:rFonts w:eastAsia="方正小标宋简体"/>
          <w:sz w:val="32"/>
          <w:szCs w:val="32"/>
        </w:rPr>
      </w:pPr>
      <w:r>
        <w:rPr>
          <w:rFonts w:eastAsia="方正小标宋简体"/>
          <w:sz w:val="32"/>
          <w:szCs w:val="32"/>
        </w:rPr>
        <w:t xml:space="preserve"> </w:t>
      </w:r>
    </w:p>
    <w:p>
      <w:pPr>
        <w:numPr>
          <w:ilvl w:val="0"/>
          <w:numId w:val="1"/>
        </w:numPr>
        <w:spacing w:line="578" w:lineRule="exact"/>
        <w:jc w:val="center"/>
        <w:rPr>
          <w:rFonts w:eastAsia="黑体"/>
          <w:sz w:val="32"/>
          <w:szCs w:val="32"/>
        </w:rPr>
      </w:pPr>
      <w:r>
        <w:rPr>
          <w:rFonts w:eastAsia="黑体"/>
          <w:sz w:val="32"/>
          <w:szCs w:val="32"/>
        </w:rPr>
        <w:t xml:space="preserve"> </w:t>
      </w:r>
      <w:r>
        <w:rPr>
          <w:rFonts w:hint="eastAsia" w:hAnsi="Calibri" w:eastAsia="黑体"/>
          <w:sz w:val="32"/>
          <w:szCs w:val="32"/>
        </w:rPr>
        <w:t>总</w:t>
      </w:r>
      <w:r>
        <w:rPr>
          <w:rFonts w:eastAsia="黑体"/>
          <w:sz w:val="32"/>
          <w:szCs w:val="32"/>
        </w:rPr>
        <w:t xml:space="preserve"> </w:t>
      </w:r>
      <w:r>
        <w:rPr>
          <w:rFonts w:hint="eastAsia" w:hAnsi="Calibri" w:eastAsia="黑体"/>
          <w:sz w:val="32"/>
          <w:szCs w:val="32"/>
        </w:rPr>
        <w:t>则</w:t>
      </w:r>
    </w:p>
    <w:p>
      <w:pPr>
        <w:spacing w:line="578" w:lineRule="exact"/>
        <w:ind w:firstLine="641" w:firstLineChars="200"/>
        <w:rPr>
          <w:rFonts w:eastAsia="仿宋_GB2312"/>
          <w:sz w:val="32"/>
          <w:szCs w:val="32"/>
        </w:rPr>
      </w:pPr>
      <w:r>
        <w:rPr>
          <w:rFonts w:hint="eastAsia" w:hAnsi="Calibri" w:eastAsia="仿宋_GB2312"/>
          <w:b/>
          <w:bCs/>
          <w:sz w:val="32"/>
          <w:szCs w:val="32"/>
        </w:rPr>
        <w:t>第一条</w:t>
      </w:r>
      <w:r>
        <w:rPr>
          <w:rFonts w:eastAsia="仿宋_GB2312"/>
          <w:sz w:val="32"/>
          <w:szCs w:val="32"/>
        </w:rPr>
        <w:t xml:space="preserve"> </w:t>
      </w:r>
      <w:r>
        <w:rPr>
          <w:rFonts w:hint="eastAsia" w:hAnsi="Calibri" w:eastAsia="仿宋_GB2312"/>
          <w:sz w:val="32"/>
          <w:szCs w:val="32"/>
        </w:rPr>
        <w:t>为规范本市长期护理保险评定管理，根据</w:t>
      </w:r>
      <w:r>
        <w:rPr>
          <w:rFonts w:hint="eastAsia" w:eastAsia="仿宋_GB2312"/>
          <w:sz w:val="32"/>
          <w:szCs w:val="32"/>
        </w:rPr>
        <w:t>《天津市人民政府办公厅关于印发天津市长期护理保险制度试点实施方案的通知》（津政办规〔</w:t>
      </w:r>
      <w:r>
        <w:rPr>
          <w:rFonts w:eastAsia="仿宋_GB2312"/>
          <w:sz w:val="32"/>
          <w:szCs w:val="32"/>
        </w:rPr>
        <w:t>2020</w:t>
      </w:r>
      <w:r>
        <w:rPr>
          <w:rFonts w:hint="eastAsia" w:eastAsia="仿宋_GB2312"/>
          <w:sz w:val="32"/>
          <w:szCs w:val="32"/>
        </w:rPr>
        <w:t>〕</w:t>
      </w:r>
      <w:r>
        <w:rPr>
          <w:rFonts w:eastAsia="仿宋_GB2312"/>
          <w:sz w:val="32"/>
          <w:szCs w:val="32"/>
        </w:rPr>
        <w:t>24</w:t>
      </w:r>
      <w:r>
        <w:rPr>
          <w:rFonts w:hint="eastAsia" w:eastAsia="仿宋_GB2312"/>
          <w:sz w:val="32"/>
          <w:szCs w:val="32"/>
        </w:rPr>
        <w:t>号）和《市医保局等七部门关于印发</w:t>
      </w:r>
      <w:r>
        <w:rPr>
          <w:rFonts w:hint="eastAsia" w:eastAsia="仿宋_GB2312"/>
          <w:sz w:val="32"/>
          <w:szCs w:val="32"/>
          <w:lang w:val="en-US" w:eastAsia="zh-CN"/>
        </w:rPr>
        <w:t>&lt;</w:t>
      </w:r>
      <w:r>
        <w:rPr>
          <w:rFonts w:hint="eastAsia" w:eastAsia="仿宋_GB2312"/>
          <w:sz w:val="32"/>
          <w:szCs w:val="32"/>
        </w:rPr>
        <w:t>天津市长期护理保险制度试点实施方案</w:t>
      </w:r>
      <w:r>
        <w:rPr>
          <w:rFonts w:hint="eastAsia" w:eastAsia="仿宋_GB2312"/>
          <w:sz w:val="32"/>
          <w:szCs w:val="32"/>
          <w:lang w:val="en-US" w:eastAsia="zh-CN"/>
        </w:rPr>
        <w:t>&gt;</w:t>
      </w:r>
      <w:r>
        <w:rPr>
          <w:rFonts w:hint="eastAsia" w:eastAsia="仿宋_GB2312"/>
          <w:sz w:val="32"/>
          <w:szCs w:val="32"/>
        </w:rPr>
        <w:t>实施细则（试行）的通知》（津医保规字〔2021〕1号）</w:t>
      </w:r>
      <w:r>
        <w:rPr>
          <w:rFonts w:hint="eastAsia" w:eastAsia="仿宋_GB2312"/>
          <w:sz w:val="32"/>
          <w:szCs w:val="32"/>
          <w:lang w:eastAsia="zh-CN"/>
        </w:rPr>
        <w:t>等有关要求</w:t>
      </w:r>
      <w:r>
        <w:rPr>
          <w:rFonts w:hint="eastAsia" w:eastAsia="仿宋_GB2312"/>
          <w:sz w:val="32"/>
          <w:szCs w:val="32"/>
        </w:rPr>
        <w:t>，结合本市实际，制定本办法。</w:t>
      </w:r>
    </w:p>
    <w:p>
      <w:pPr>
        <w:spacing w:line="578" w:lineRule="exact"/>
        <w:ind w:firstLine="641" w:firstLineChars="200"/>
        <w:rPr>
          <w:rFonts w:eastAsia="仿宋_GB2312"/>
          <w:sz w:val="32"/>
          <w:szCs w:val="32"/>
        </w:rPr>
      </w:pPr>
      <w:r>
        <w:rPr>
          <w:rFonts w:hint="eastAsia" w:hAnsi="Calibri" w:eastAsia="仿宋_GB2312"/>
          <w:b/>
          <w:bCs/>
          <w:sz w:val="32"/>
          <w:szCs w:val="32"/>
        </w:rPr>
        <w:t>第二条</w:t>
      </w:r>
      <w:r>
        <w:rPr>
          <w:rFonts w:eastAsia="仿宋_GB2312"/>
          <w:sz w:val="32"/>
          <w:szCs w:val="32"/>
        </w:rPr>
        <w:t xml:space="preserve"> </w:t>
      </w:r>
      <w:r>
        <w:rPr>
          <w:rFonts w:hint="eastAsia" w:hAnsi="Calibri" w:eastAsia="仿宋_GB2312"/>
          <w:sz w:val="32"/>
          <w:szCs w:val="32"/>
        </w:rPr>
        <w:t>本办法适用于本市长期护理保险参保人员的失能状态和等级的评定工作（以下简称失能评定）。</w:t>
      </w:r>
    </w:p>
    <w:p>
      <w:pPr>
        <w:spacing w:line="578" w:lineRule="exact"/>
        <w:ind w:firstLine="641" w:firstLineChars="200"/>
        <w:rPr>
          <w:rFonts w:eastAsia="仿宋_GB2312"/>
          <w:strike/>
          <w:sz w:val="32"/>
          <w:szCs w:val="32"/>
        </w:rPr>
      </w:pPr>
      <w:r>
        <w:rPr>
          <w:rFonts w:hint="eastAsia" w:hAnsi="Calibri" w:eastAsia="仿宋_GB2312"/>
          <w:b/>
          <w:bCs/>
          <w:sz w:val="32"/>
          <w:szCs w:val="32"/>
        </w:rPr>
        <w:t>第三条</w:t>
      </w:r>
      <w:r>
        <w:rPr>
          <w:rFonts w:eastAsia="仿宋_GB2312"/>
          <w:sz w:val="32"/>
          <w:szCs w:val="32"/>
        </w:rPr>
        <w:t xml:space="preserve"> </w:t>
      </w:r>
      <w:r>
        <w:rPr>
          <w:rFonts w:hint="eastAsia" w:hAnsi="Calibri" w:eastAsia="仿宋_GB2312"/>
          <w:sz w:val="32"/>
          <w:szCs w:val="32"/>
        </w:rPr>
        <w:t>失能评定工作遵循科学、规范、公平、公正的原则，坚持评定标准和护理需求相适应，评定机构和人员管理相并重，合理设置评定流程，强化评定管理和监督。</w:t>
      </w:r>
    </w:p>
    <w:p>
      <w:pPr>
        <w:autoSpaceDE w:val="0"/>
        <w:autoSpaceDN w:val="0"/>
        <w:adjustRightInd w:val="0"/>
        <w:spacing w:line="578" w:lineRule="exact"/>
        <w:ind w:firstLine="641" w:firstLineChars="200"/>
        <w:jc w:val="left"/>
        <w:rPr>
          <w:rFonts w:eastAsia="仿宋_GB2312"/>
          <w:color w:val="000000"/>
          <w:kern w:val="0"/>
          <w:sz w:val="32"/>
          <w:szCs w:val="32"/>
        </w:rPr>
      </w:pPr>
      <w:r>
        <w:rPr>
          <w:rFonts w:hint="eastAsia" w:hAnsi="Calibri" w:eastAsia="仿宋_GB2312"/>
          <w:b/>
          <w:bCs/>
          <w:color w:val="000000"/>
          <w:kern w:val="0"/>
          <w:sz w:val="32"/>
          <w:szCs w:val="32"/>
        </w:rPr>
        <w:t>第四条</w:t>
      </w:r>
      <w:r>
        <w:rPr>
          <w:rFonts w:eastAsia="仿宋_GB2312"/>
          <w:color w:val="000000"/>
          <w:kern w:val="0"/>
          <w:sz w:val="32"/>
          <w:szCs w:val="32"/>
        </w:rPr>
        <w:t xml:space="preserve"> </w:t>
      </w:r>
      <w:r>
        <w:rPr>
          <w:rFonts w:hint="eastAsia" w:hAnsi="Calibri" w:eastAsia="仿宋_GB2312"/>
          <w:color w:val="000000"/>
          <w:kern w:val="0"/>
          <w:sz w:val="32"/>
          <w:szCs w:val="32"/>
        </w:rPr>
        <w:t>市医疗保障行政部门负责本市失能评定工作的统筹管理。区医疗保障行政部门负责辖区内异议复评的组织实施工作。</w:t>
      </w:r>
    </w:p>
    <w:p>
      <w:pPr>
        <w:autoSpaceDE w:val="0"/>
        <w:autoSpaceDN w:val="0"/>
        <w:adjustRightInd w:val="0"/>
        <w:spacing w:line="578" w:lineRule="exact"/>
        <w:ind w:firstLine="640" w:firstLineChars="200"/>
        <w:jc w:val="left"/>
        <w:rPr>
          <w:rFonts w:eastAsia="仿宋_GB2312"/>
          <w:color w:val="000000"/>
          <w:kern w:val="0"/>
          <w:sz w:val="32"/>
          <w:szCs w:val="32"/>
        </w:rPr>
      </w:pPr>
      <w:r>
        <w:rPr>
          <w:rFonts w:hint="eastAsia" w:hAnsi="Calibri" w:eastAsia="仿宋_GB2312"/>
          <w:color w:val="000000"/>
          <w:kern w:val="0"/>
          <w:sz w:val="32"/>
          <w:szCs w:val="32"/>
        </w:rPr>
        <w:t>民政、卫生健康行政部门在各自职责范围内负责失能评定机构的行业管理工作。</w:t>
      </w:r>
    </w:p>
    <w:p>
      <w:pPr>
        <w:autoSpaceDE w:val="0"/>
        <w:autoSpaceDN w:val="0"/>
        <w:adjustRightInd w:val="0"/>
        <w:spacing w:line="578" w:lineRule="exact"/>
        <w:ind w:firstLine="640" w:firstLineChars="200"/>
        <w:jc w:val="left"/>
        <w:rPr>
          <w:rFonts w:eastAsia="仿宋_GB2312"/>
          <w:kern w:val="0"/>
          <w:sz w:val="32"/>
          <w:szCs w:val="32"/>
        </w:rPr>
      </w:pPr>
      <w:r>
        <w:rPr>
          <w:rFonts w:hint="eastAsia" w:hAnsi="Calibri" w:eastAsia="仿宋_GB2312"/>
          <w:color w:val="000000"/>
          <w:kern w:val="0"/>
          <w:sz w:val="32"/>
          <w:szCs w:val="32"/>
        </w:rPr>
        <w:t>市医疗保障经办机构（以下简称医保经办机构）负责提供失</w:t>
      </w:r>
      <w:r>
        <w:rPr>
          <w:rFonts w:hint="eastAsia" w:hAnsi="Calibri" w:eastAsia="仿宋_GB2312"/>
          <w:kern w:val="0"/>
          <w:sz w:val="32"/>
          <w:szCs w:val="32"/>
        </w:rPr>
        <w:t>能评定的经办服务，可将部分经办业务委托商业保险机构（以下简称委托经办机构）办理。</w:t>
      </w:r>
    </w:p>
    <w:p>
      <w:pPr>
        <w:autoSpaceDE w:val="0"/>
        <w:autoSpaceDN w:val="0"/>
        <w:adjustRightInd w:val="0"/>
        <w:spacing w:line="578" w:lineRule="exact"/>
        <w:ind w:firstLine="640" w:firstLineChars="200"/>
        <w:jc w:val="left"/>
        <w:rPr>
          <w:rFonts w:eastAsia="仿宋_GB2312"/>
          <w:kern w:val="0"/>
          <w:sz w:val="32"/>
          <w:szCs w:val="32"/>
        </w:rPr>
      </w:pPr>
      <w:r>
        <w:rPr>
          <w:rFonts w:hint="eastAsia" w:hAnsi="Calibri" w:eastAsia="仿宋_GB2312"/>
          <w:kern w:val="0"/>
          <w:sz w:val="32"/>
          <w:szCs w:val="32"/>
        </w:rPr>
        <w:t>市医疗保障行政执法机构受市医疗保障行政部门委托，具体实施失能评定机构监督检查等行政执法工作。</w:t>
      </w:r>
    </w:p>
    <w:p>
      <w:pPr>
        <w:spacing w:line="578" w:lineRule="exact"/>
        <w:ind w:firstLine="640"/>
        <w:rPr>
          <w:rFonts w:eastAsia="仿宋_GB2312"/>
          <w:sz w:val="32"/>
          <w:szCs w:val="32"/>
        </w:rPr>
      </w:pPr>
      <w:r>
        <w:rPr>
          <w:rFonts w:hint="eastAsia" w:hAnsi="Calibri" w:eastAsia="仿宋_GB2312"/>
          <w:b/>
          <w:bCs/>
          <w:sz w:val="32"/>
          <w:szCs w:val="32"/>
        </w:rPr>
        <w:t>第五条</w:t>
      </w:r>
      <w:r>
        <w:rPr>
          <w:rFonts w:eastAsia="仿宋_GB2312"/>
          <w:sz w:val="32"/>
          <w:szCs w:val="32"/>
        </w:rPr>
        <w:t xml:space="preserve"> </w:t>
      </w:r>
      <w:r>
        <w:rPr>
          <w:rFonts w:hint="eastAsia" w:hAnsi="Calibri" w:eastAsia="仿宋_GB2312"/>
          <w:sz w:val="32"/>
          <w:szCs w:val="32"/>
        </w:rPr>
        <w:t>探索与民政等部门逐步形成全市统一的失能评定标准、评定机构和收费标准。失能评定结论作为参保人员享受长期护理保险待遇等政策的依据。</w:t>
      </w:r>
    </w:p>
    <w:p>
      <w:pPr>
        <w:spacing w:line="578" w:lineRule="exact"/>
        <w:ind w:firstLine="640"/>
        <w:rPr>
          <w:rFonts w:eastAsia="仿宋_GB2312"/>
          <w:sz w:val="32"/>
          <w:szCs w:val="32"/>
        </w:rPr>
      </w:pPr>
      <w:r>
        <w:rPr>
          <w:rFonts w:eastAsia="仿宋_GB2312"/>
          <w:sz w:val="32"/>
          <w:szCs w:val="32"/>
        </w:rPr>
        <w:t xml:space="preserve"> </w:t>
      </w:r>
    </w:p>
    <w:p>
      <w:pPr>
        <w:numPr>
          <w:ilvl w:val="0"/>
          <w:numId w:val="1"/>
        </w:numPr>
        <w:spacing w:line="578" w:lineRule="exact"/>
        <w:jc w:val="center"/>
        <w:rPr>
          <w:rFonts w:eastAsia="黑体"/>
          <w:sz w:val="32"/>
          <w:szCs w:val="32"/>
        </w:rPr>
      </w:pPr>
      <w:r>
        <w:rPr>
          <w:rFonts w:hint="eastAsia" w:hAnsi="Calibri" w:eastAsia="黑体"/>
          <w:sz w:val="32"/>
          <w:szCs w:val="32"/>
        </w:rPr>
        <w:t>评定机构及人员</w:t>
      </w:r>
    </w:p>
    <w:p>
      <w:pPr>
        <w:spacing w:line="578" w:lineRule="exact"/>
        <w:ind w:firstLine="641" w:firstLineChars="200"/>
        <w:rPr>
          <w:rFonts w:eastAsia="仿宋_GB2312"/>
          <w:sz w:val="32"/>
          <w:szCs w:val="32"/>
        </w:rPr>
      </w:pPr>
      <w:r>
        <w:rPr>
          <w:rFonts w:hint="eastAsia" w:hAnsi="Calibri" w:eastAsia="仿宋_GB2312"/>
          <w:b/>
          <w:bCs/>
          <w:sz w:val="32"/>
          <w:szCs w:val="32"/>
        </w:rPr>
        <w:t>第六条</w:t>
      </w:r>
      <w:r>
        <w:rPr>
          <w:rFonts w:eastAsia="仿宋_GB2312"/>
          <w:sz w:val="32"/>
          <w:szCs w:val="32"/>
        </w:rPr>
        <w:t xml:space="preserve"> </w:t>
      </w:r>
      <w:r>
        <w:rPr>
          <w:rFonts w:hint="eastAsia" w:hAnsi="Calibri" w:eastAsia="仿宋_GB2312"/>
          <w:sz w:val="32"/>
          <w:szCs w:val="32"/>
        </w:rPr>
        <w:t>业务范围涉及养老服务评估的企事业单位、社会组织，</w:t>
      </w:r>
      <w:r>
        <w:rPr>
          <w:rFonts w:hint="eastAsia" w:hAnsi="Calibri" w:eastAsia="仿宋_GB2312"/>
          <w:kern w:val="0"/>
          <w:sz w:val="32"/>
          <w:szCs w:val="32"/>
        </w:rPr>
        <w:t>以及能够提供老年护理服务的其他医疗机构，</w:t>
      </w:r>
      <w:r>
        <w:rPr>
          <w:rFonts w:hint="eastAsia" w:hAnsi="Calibri" w:eastAsia="仿宋_GB2312"/>
          <w:sz w:val="32"/>
          <w:szCs w:val="32"/>
        </w:rPr>
        <w:t>符合以下条件的，可自愿申请成为失能评定机构：</w:t>
      </w:r>
    </w:p>
    <w:p>
      <w:pPr>
        <w:autoSpaceDE w:val="0"/>
        <w:autoSpaceDN w:val="0"/>
        <w:adjustRightInd w:val="0"/>
        <w:spacing w:line="578" w:lineRule="exact"/>
        <w:ind w:firstLine="640" w:firstLineChars="200"/>
        <w:jc w:val="left"/>
        <w:rPr>
          <w:rFonts w:eastAsia="仿宋_GB2312"/>
          <w:kern w:val="0"/>
          <w:sz w:val="32"/>
          <w:szCs w:val="32"/>
        </w:rPr>
      </w:pPr>
      <w:r>
        <w:rPr>
          <w:rFonts w:hint="eastAsia" w:hAnsi="Calibri" w:eastAsia="仿宋_GB2312"/>
          <w:kern w:val="0"/>
          <w:sz w:val="32"/>
          <w:szCs w:val="32"/>
        </w:rPr>
        <w:t>（一）遵守国家和本市长期护理保险管理和基金使用方面规定，近一年内未因违反长期护理保险有关规定受到行政处罚；</w:t>
      </w:r>
    </w:p>
    <w:p>
      <w:pPr>
        <w:autoSpaceDE w:val="0"/>
        <w:autoSpaceDN w:val="0"/>
        <w:adjustRightInd w:val="0"/>
        <w:spacing w:line="578" w:lineRule="exact"/>
        <w:ind w:firstLine="640" w:firstLineChars="200"/>
        <w:jc w:val="left"/>
        <w:rPr>
          <w:rFonts w:eastAsia="仿宋_GB2312"/>
          <w:kern w:val="0"/>
          <w:sz w:val="32"/>
          <w:szCs w:val="32"/>
        </w:rPr>
      </w:pPr>
      <w:r>
        <w:rPr>
          <w:rFonts w:hint="eastAsia" w:hAnsi="Calibri" w:eastAsia="仿宋_GB2312"/>
          <w:kern w:val="0"/>
          <w:sz w:val="32"/>
          <w:szCs w:val="32"/>
        </w:rPr>
        <w:t>（二）在本市依法注册登记，并正式运营满</w:t>
      </w:r>
      <w:r>
        <w:rPr>
          <w:rFonts w:eastAsia="仿宋_GB2312"/>
          <w:kern w:val="0"/>
          <w:sz w:val="32"/>
          <w:szCs w:val="32"/>
        </w:rPr>
        <w:t>3</w:t>
      </w:r>
      <w:r>
        <w:rPr>
          <w:rFonts w:hint="eastAsia" w:hAnsi="Calibri" w:eastAsia="仿宋_GB2312"/>
          <w:kern w:val="0"/>
          <w:sz w:val="32"/>
          <w:szCs w:val="32"/>
        </w:rPr>
        <w:t>个月；</w:t>
      </w:r>
    </w:p>
    <w:p>
      <w:pPr>
        <w:autoSpaceDE w:val="0"/>
        <w:autoSpaceDN w:val="0"/>
        <w:adjustRightInd w:val="0"/>
        <w:spacing w:line="578" w:lineRule="exact"/>
        <w:ind w:firstLine="640" w:firstLineChars="200"/>
        <w:jc w:val="left"/>
        <w:rPr>
          <w:rFonts w:eastAsia="仿宋_GB2312"/>
          <w:kern w:val="0"/>
          <w:sz w:val="32"/>
          <w:szCs w:val="32"/>
        </w:rPr>
      </w:pPr>
      <w:r>
        <w:rPr>
          <w:rFonts w:hint="eastAsia" w:hAnsi="Calibri" w:eastAsia="仿宋_GB2312"/>
          <w:kern w:val="0"/>
          <w:sz w:val="32"/>
          <w:szCs w:val="32"/>
        </w:rPr>
        <w:t>（三）未同时作为长期护理保险定点护理机构；</w:t>
      </w:r>
    </w:p>
    <w:p>
      <w:pPr>
        <w:autoSpaceDE w:val="0"/>
        <w:autoSpaceDN w:val="0"/>
        <w:adjustRightInd w:val="0"/>
        <w:spacing w:line="578" w:lineRule="exact"/>
        <w:ind w:firstLine="640" w:firstLineChars="200"/>
        <w:jc w:val="left"/>
        <w:rPr>
          <w:rFonts w:eastAsia="仿宋_GB2312"/>
          <w:kern w:val="0"/>
          <w:sz w:val="32"/>
          <w:szCs w:val="32"/>
        </w:rPr>
      </w:pPr>
      <w:r>
        <w:rPr>
          <w:rFonts w:hint="eastAsia" w:hAnsi="Calibri" w:eastAsia="仿宋_GB2312"/>
          <w:kern w:val="0"/>
          <w:sz w:val="32"/>
          <w:szCs w:val="32"/>
        </w:rPr>
        <w:t>（四）具备专业化评定队伍；</w:t>
      </w:r>
    </w:p>
    <w:p>
      <w:pPr>
        <w:autoSpaceDE w:val="0"/>
        <w:autoSpaceDN w:val="0"/>
        <w:adjustRightInd w:val="0"/>
        <w:spacing w:line="578" w:lineRule="exact"/>
        <w:ind w:firstLine="640" w:firstLineChars="200"/>
        <w:jc w:val="left"/>
        <w:rPr>
          <w:rFonts w:eastAsia="仿宋_GB2312"/>
          <w:kern w:val="0"/>
          <w:sz w:val="32"/>
          <w:szCs w:val="32"/>
        </w:rPr>
      </w:pPr>
      <w:r>
        <w:rPr>
          <w:rFonts w:hint="eastAsia" w:hAnsi="Calibri" w:eastAsia="仿宋_GB2312"/>
          <w:kern w:val="0"/>
          <w:sz w:val="32"/>
          <w:szCs w:val="32"/>
        </w:rPr>
        <w:t>（五）配备符合长期护理保险服务管理要求的软、硬件设备，能够按要求接入本市长期护理保险信息系统；</w:t>
      </w:r>
    </w:p>
    <w:p>
      <w:pPr>
        <w:autoSpaceDE w:val="0"/>
        <w:autoSpaceDN w:val="0"/>
        <w:adjustRightInd w:val="0"/>
        <w:spacing w:line="578" w:lineRule="exact"/>
        <w:ind w:firstLine="640" w:firstLineChars="200"/>
        <w:jc w:val="left"/>
        <w:rPr>
          <w:rFonts w:eastAsia="仿宋_GB2312"/>
          <w:kern w:val="0"/>
          <w:sz w:val="32"/>
          <w:szCs w:val="32"/>
        </w:rPr>
      </w:pPr>
      <w:r>
        <w:rPr>
          <w:rFonts w:hint="eastAsia" w:hAnsi="Calibri" w:eastAsia="仿宋_GB2312"/>
          <w:kern w:val="0"/>
          <w:sz w:val="32"/>
          <w:szCs w:val="32"/>
        </w:rPr>
        <w:t>（六）按规定应当具备的其他条件。</w:t>
      </w:r>
    </w:p>
    <w:p>
      <w:pPr>
        <w:spacing w:line="578" w:lineRule="exact"/>
        <w:ind w:firstLine="641" w:firstLineChars="200"/>
        <w:rPr>
          <w:rFonts w:eastAsia="仿宋_GB2312"/>
          <w:sz w:val="32"/>
          <w:szCs w:val="32"/>
        </w:rPr>
      </w:pPr>
      <w:r>
        <w:rPr>
          <w:rFonts w:hint="eastAsia" w:hAnsi="Calibri" w:eastAsia="仿宋_GB2312"/>
          <w:b/>
          <w:bCs/>
          <w:sz w:val="32"/>
          <w:szCs w:val="32"/>
        </w:rPr>
        <w:t>第七条</w:t>
      </w:r>
      <w:r>
        <w:rPr>
          <w:rFonts w:eastAsia="仿宋_GB2312"/>
          <w:b/>
          <w:bCs/>
          <w:sz w:val="32"/>
          <w:szCs w:val="32"/>
        </w:rPr>
        <w:t xml:space="preserve"> </w:t>
      </w:r>
      <w:r>
        <w:rPr>
          <w:rFonts w:hint="eastAsia" w:hAnsi="Calibri" w:eastAsia="仿宋_GB2312"/>
          <w:sz w:val="32"/>
          <w:szCs w:val="32"/>
        </w:rPr>
        <w:t>符合以下条件的人员纳入失能评定人员管理：</w:t>
      </w:r>
    </w:p>
    <w:p>
      <w:pPr>
        <w:spacing w:line="578" w:lineRule="exact"/>
        <w:ind w:firstLine="640" w:firstLineChars="200"/>
        <w:rPr>
          <w:rFonts w:eastAsia="仿宋_GB2312"/>
          <w:sz w:val="32"/>
          <w:szCs w:val="32"/>
        </w:rPr>
      </w:pPr>
      <w:r>
        <w:rPr>
          <w:rFonts w:hint="eastAsia" w:hAnsi="Calibri" w:eastAsia="仿宋_GB2312"/>
          <w:sz w:val="32"/>
          <w:szCs w:val="32"/>
        </w:rPr>
        <w:t>（一）与失能评定机构签订劳动（劳务）合同；</w:t>
      </w:r>
    </w:p>
    <w:p>
      <w:pPr>
        <w:spacing w:line="578" w:lineRule="exact"/>
        <w:ind w:firstLine="640" w:firstLineChars="200"/>
        <w:rPr>
          <w:rFonts w:eastAsia="仿宋_GB2312"/>
          <w:sz w:val="32"/>
          <w:szCs w:val="32"/>
        </w:rPr>
      </w:pPr>
      <w:r>
        <w:rPr>
          <w:rFonts w:hint="eastAsia" w:hAnsi="Calibri" w:eastAsia="仿宋_GB2312"/>
          <w:sz w:val="32"/>
          <w:szCs w:val="32"/>
        </w:rPr>
        <w:t>（二）具有临床、护理、康复等相关专业中级及以上专业技术职称；</w:t>
      </w:r>
    </w:p>
    <w:p>
      <w:pPr>
        <w:spacing w:line="578" w:lineRule="exact"/>
        <w:ind w:firstLine="640" w:firstLineChars="200"/>
        <w:rPr>
          <w:rFonts w:eastAsia="仿宋_GB2312"/>
          <w:sz w:val="32"/>
          <w:szCs w:val="32"/>
        </w:rPr>
      </w:pPr>
      <w:r>
        <w:rPr>
          <w:rFonts w:hint="eastAsia" w:hAnsi="Calibri" w:eastAsia="仿宋_GB2312"/>
          <w:sz w:val="32"/>
          <w:szCs w:val="32"/>
        </w:rPr>
        <w:t>（三）具有较强的沟通能力，能胜任现场评定工作；</w:t>
      </w:r>
    </w:p>
    <w:p>
      <w:pPr>
        <w:spacing w:line="578" w:lineRule="exact"/>
        <w:ind w:firstLine="640" w:firstLineChars="200"/>
        <w:rPr>
          <w:rFonts w:eastAsia="仿宋_GB2312"/>
          <w:sz w:val="32"/>
          <w:szCs w:val="32"/>
        </w:rPr>
      </w:pPr>
      <w:r>
        <w:rPr>
          <w:rFonts w:hint="eastAsia" w:hAnsi="Calibri" w:eastAsia="仿宋_GB2312"/>
          <w:sz w:val="32"/>
          <w:szCs w:val="32"/>
        </w:rPr>
        <w:t>（四）通过医疗保障部门组织的规范化业务培训；</w:t>
      </w:r>
    </w:p>
    <w:p>
      <w:pPr>
        <w:spacing w:line="578" w:lineRule="exact"/>
        <w:ind w:firstLine="640" w:firstLineChars="200"/>
        <w:rPr>
          <w:rFonts w:eastAsia="仿宋_GB2312"/>
          <w:sz w:val="32"/>
          <w:szCs w:val="32"/>
        </w:rPr>
      </w:pPr>
      <w:r>
        <w:rPr>
          <w:rFonts w:hint="eastAsia" w:hAnsi="Calibri" w:eastAsia="仿宋_GB2312"/>
          <w:sz w:val="32"/>
          <w:szCs w:val="32"/>
        </w:rPr>
        <w:t>（五）其他失能评定相关要求。</w:t>
      </w:r>
    </w:p>
    <w:p>
      <w:pPr>
        <w:spacing w:line="578" w:lineRule="exact"/>
        <w:ind w:firstLine="641" w:firstLineChars="200"/>
        <w:rPr>
          <w:rFonts w:eastAsia="仿宋_GB2312"/>
          <w:sz w:val="32"/>
          <w:szCs w:val="32"/>
        </w:rPr>
      </w:pPr>
      <w:r>
        <w:rPr>
          <w:rFonts w:hint="eastAsia" w:hAnsi="Calibri" w:eastAsia="仿宋_GB2312"/>
          <w:b/>
          <w:bCs/>
          <w:sz w:val="32"/>
          <w:szCs w:val="32"/>
        </w:rPr>
        <w:t>第八条</w:t>
      </w:r>
      <w:r>
        <w:rPr>
          <w:rFonts w:eastAsia="仿宋_GB2312"/>
          <w:b/>
          <w:bCs/>
          <w:sz w:val="32"/>
          <w:szCs w:val="32"/>
        </w:rPr>
        <w:t xml:space="preserve"> </w:t>
      </w:r>
      <w:r>
        <w:rPr>
          <w:rFonts w:hint="eastAsia" w:hAnsi="Calibri" w:eastAsia="仿宋_GB2312"/>
          <w:sz w:val="32"/>
          <w:szCs w:val="32"/>
        </w:rPr>
        <w:t>医保经办机构组织委托经办机构通过申请、材料审核、现场核查、社会公示等程序，在</w:t>
      </w:r>
      <w:r>
        <w:rPr>
          <w:rFonts w:eastAsia="仿宋_GB2312"/>
          <w:sz w:val="32"/>
          <w:szCs w:val="32"/>
        </w:rPr>
        <w:t>30</w:t>
      </w:r>
      <w:r>
        <w:rPr>
          <w:rFonts w:hint="eastAsia" w:hAnsi="Calibri" w:eastAsia="仿宋_GB2312"/>
          <w:sz w:val="32"/>
          <w:szCs w:val="32"/>
        </w:rPr>
        <w:t>个工作日内，确定失能评定机构，并签订三方服务协议。失能评定机构数量应与失能评定需求相匹配。</w:t>
      </w:r>
    </w:p>
    <w:p>
      <w:pPr>
        <w:spacing w:line="578" w:lineRule="exact"/>
        <w:ind w:firstLine="641" w:firstLineChars="200"/>
        <w:rPr>
          <w:rFonts w:eastAsia="仿宋_GB2312"/>
          <w:sz w:val="32"/>
          <w:szCs w:val="32"/>
        </w:rPr>
      </w:pPr>
      <w:r>
        <w:rPr>
          <w:rFonts w:hint="eastAsia" w:hAnsi="Calibri" w:eastAsia="仿宋_GB2312"/>
          <w:b/>
          <w:bCs/>
          <w:sz w:val="32"/>
          <w:szCs w:val="32"/>
        </w:rPr>
        <w:t>第九条</w:t>
      </w:r>
      <w:r>
        <w:rPr>
          <w:rFonts w:eastAsia="仿宋_GB2312"/>
          <w:sz w:val="32"/>
          <w:szCs w:val="32"/>
        </w:rPr>
        <w:t xml:space="preserve"> </w:t>
      </w:r>
      <w:r>
        <w:rPr>
          <w:rFonts w:hint="eastAsia" w:hAnsi="Calibri" w:eastAsia="仿宋_GB2312"/>
          <w:sz w:val="32"/>
          <w:szCs w:val="32"/>
        </w:rPr>
        <w:t>失能评定机构将符合条件的失能评定人员信息录入长期护理保险信息系统，实行实名制管理。未纳入信息系统管理的人员不得从事长期护理保险失能评定工作。</w:t>
      </w:r>
    </w:p>
    <w:p>
      <w:pPr>
        <w:spacing w:line="578" w:lineRule="exact"/>
        <w:ind w:firstLine="641" w:firstLineChars="200"/>
        <w:rPr>
          <w:rFonts w:eastAsia="仿宋_GB2312"/>
          <w:sz w:val="32"/>
          <w:szCs w:val="32"/>
        </w:rPr>
      </w:pPr>
      <w:r>
        <w:rPr>
          <w:rFonts w:hint="eastAsia" w:hAnsi="Calibri" w:eastAsia="仿宋_GB2312"/>
          <w:b/>
          <w:bCs/>
          <w:sz w:val="32"/>
          <w:szCs w:val="32"/>
        </w:rPr>
        <w:t>第十条</w:t>
      </w:r>
      <w:r>
        <w:rPr>
          <w:rFonts w:eastAsia="仿宋_GB2312"/>
          <w:sz w:val="32"/>
          <w:szCs w:val="32"/>
        </w:rPr>
        <w:t xml:space="preserve"> </w:t>
      </w:r>
      <w:r>
        <w:rPr>
          <w:rFonts w:hint="eastAsia" w:hAnsi="Calibri" w:eastAsia="仿宋_GB2312"/>
          <w:sz w:val="32"/>
          <w:szCs w:val="32"/>
        </w:rPr>
        <w:t>失能评定机构按照全市统一标准，</w:t>
      </w:r>
      <w:r>
        <w:rPr>
          <w:rFonts w:hint="eastAsia" w:eastAsia="仿宋_GB2312"/>
          <w:sz w:val="32"/>
          <w:szCs w:val="32"/>
        </w:rPr>
        <w:t>加挂</w:t>
      </w:r>
      <w:r>
        <w:rPr>
          <w:rFonts w:eastAsia="仿宋_GB2312"/>
          <w:sz w:val="32"/>
          <w:szCs w:val="32"/>
        </w:rPr>
        <w:t>“</w:t>
      </w:r>
      <w:r>
        <w:rPr>
          <w:rFonts w:hint="eastAsia" w:eastAsia="仿宋_GB2312"/>
          <w:sz w:val="32"/>
          <w:szCs w:val="32"/>
        </w:rPr>
        <w:t>天津市长期护理保险失能评定第</w:t>
      </w:r>
      <w:r>
        <w:rPr>
          <w:rFonts w:eastAsia="仿宋_GB2312"/>
          <w:sz w:val="32"/>
          <w:szCs w:val="32"/>
        </w:rPr>
        <w:t>XX</w:t>
      </w:r>
      <w:r>
        <w:rPr>
          <w:rFonts w:hint="eastAsia" w:eastAsia="仿宋_GB2312"/>
          <w:sz w:val="32"/>
          <w:szCs w:val="32"/>
        </w:rPr>
        <w:t>中心</w:t>
      </w:r>
      <w:r>
        <w:rPr>
          <w:rFonts w:eastAsia="仿宋_GB2312"/>
          <w:sz w:val="32"/>
          <w:szCs w:val="32"/>
        </w:rPr>
        <w:t>”</w:t>
      </w:r>
      <w:r>
        <w:rPr>
          <w:rFonts w:hint="eastAsia" w:eastAsia="仿宋_GB2312"/>
          <w:sz w:val="32"/>
          <w:szCs w:val="32"/>
        </w:rPr>
        <w:t>牌子，评定人员以</w:t>
      </w:r>
      <w:r>
        <w:rPr>
          <w:rFonts w:hint="eastAsia" w:hAnsi="Calibri" w:eastAsia="仿宋_GB2312"/>
          <w:sz w:val="32"/>
          <w:szCs w:val="32"/>
        </w:rPr>
        <w:t>及其他工作人员应统一着装并佩戴工牌、工号。</w:t>
      </w:r>
    </w:p>
    <w:p>
      <w:pPr>
        <w:spacing w:line="578" w:lineRule="exact"/>
        <w:ind w:firstLine="641" w:firstLineChars="200"/>
        <w:rPr>
          <w:rFonts w:eastAsia="仿宋_GB2312"/>
          <w:sz w:val="32"/>
          <w:szCs w:val="32"/>
        </w:rPr>
      </w:pPr>
      <w:r>
        <w:rPr>
          <w:rFonts w:hint="eastAsia" w:hAnsi="Calibri" w:eastAsia="仿宋_GB2312"/>
          <w:b/>
          <w:bCs/>
          <w:sz w:val="32"/>
          <w:szCs w:val="32"/>
        </w:rPr>
        <w:t>第十一条</w:t>
      </w:r>
      <w:r>
        <w:rPr>
          <w:rFonts w:eastAsia="仿宋_GB2312"/>
          <w:sz w:val="32"/>
          <w:szCs w:val="32"/>
        </w:rPr>
        <w:t xml:space="preserve"> </w:t>
      </w:r>
      <w:r>
        <w:rPr>
          <w:rFonts w:hint="eastAsia" w:hAnsi="Calibri" w:eastAsia="仿宋_GB2312"/>
          <w:sz w:val="32"/>
          <w:szCs w:val="32"/>
        </w:rPr>
        <w:t>失能评定机构及评定人员应当客观、公正的进行评定工作。与参保人员有亲属或利害关系的，或与参保人员申请时定点护理机构有利害关系的，应当回避。</w:t>
      </w:r>
    </w:p>
    <w:p>
      <w:pPr>
        <w:spacing w:line="578" w:lineRule="exact"/>
        <w:rPr>
          <w:rFonts w:eastAsia="黑体"/>
          <w:sz w:val="32"/>
          <w:szCs w:val="32"/>
        </w:rPr>
      </w:pPr>
      <w:r>
        <w:rPr>
          <w:rFonts w:eastAsia="黑体"/>
          <w:sz w:val="32"/>
          <w:szCs w:val="32"/>
        </w:rPr>
        <w:t xml:space="preserve"> </w:t>
      </w:r>
    </w:p>
    <w:p>
      <w:pPr>
        <w:numPr>
          <w:ilvl w:val="0"/>
          <w:numId w:val="1"/>
        </w:numPr>
        <w:spacing w:line="578" w:lineRule="exact"/>
        <w:jc w:val="center"/>
        <w:rPr>
          <w:rFonts w:eastAsia="黑体"/>
          <w:sz w:val="32"/>
          <w:szCs w:val="32"/>
        </w:rPr>
      </w:pPr>
      <w:r>
        <w:rPr>
          <w:rFonts w:hint="eastAsia" w:hAnsi="Calibri" w:eastAsia="黑体"/>
          <w:sz w:val="32"/>
          <w:szCs w:val="32"/>
        </w:rPr>
        <w:t>评定流程</w:t>
      </w:r>
    </w:p>
    <w:p>
      <w:pPr>
        <w:spacing w:line="578" w:lineRule="exact"/>
        <w:ind w:firstLine="641" w:firstLineChars="200"/>
        <w:rPr>
          <w:rFonts w:eastAsia="仿宋_GB2312"/>
          <w:b/>
          <w:bCs/>
          <w:sz w:val="32"/>
          <w:szCs w:val="32"/>
        </w:rPr>
      </w:pPr>
      <w:r>
        <w:rPr>
          <w:rFonts w:hint="eastAsia" w:hAnsi="Calibri" w:eastAsia="仿宋_GB2312"/>
          <w:b/>
          <w:bCs/>
          <w:sz w:val="32"/>
          <w:szCs w:val="32"/>
        </w:rPr>
        <w:t>第十二条</w:t>
      </w:r>
      <w:r>
        <w:rPr>
          <w:rFonts w:eastAsia="仿宋_GB2312"/>
          <w:b/>
          <w:bCs/>
          <w:sz w:val="32"/>
          <w:szCs w:val="32"/>
        </w:rPr>
        <w:t xml:space="preserve"> </w:t>
      </w:r>
      <w:r>
        <w:rPr>
          <w:rFonts w:hint="eastAsia" w:hAnsi="Calibri" w:eastAsia="仿宋_GB2312"/>
          <w:sz w:val="32"/>
          <w:szCs w:val="32"/>
        </w:rPr>
        <w:t>经医疗机构或康复机构规范诊疗、失能状态持续</w:t>
      </w:r>
      <w:r>
        <w:rPr>
          <w:rFonts w:eastAsia="仿宋_GB2312"/>
          <w:sz w:val="32"/>
          <w:szCs w:val="32"/>
        </w:rPr>
        <w:t>6</w:t>
      </w:r>
      <w:r>
        <w:rPr>
          <w:rFonts w:hint="eastAsia" w:eastAsia="仿宋_GB2312"/>
          <w:sz w:val="32"/>
          <w:szCs w:val="32"/>
        </w:rPr>
        <w:t>个月以上的长期护理保险参保人员，自参加长期护理保险次月起可提出失能评定申请。</w:t>
      </w:r>
    </w:p>
    <w:p>
      <w:pPr>
        <w:spacing w:line="578" w:lineRule="exact"/>
        <w:ind w:firstLine="643"/>
        <w:rPr>
          <w:rFonts w:eastAsia="仿宋_GB2312"/>
          <w:b/>
          <w:bCs/>
          <w:sz w:val="32"/>
          <w:szCs w:val="32"/>
        </w:rPr>
      </w:pPr>
      <w:r>
        <w:rPr>
          <w:rFonts w:hint="eastAsia" w:eastAsia="仿宋_GB2312"/>
          <w:b/>
          <w:bCs/>
          <w:sz w:val="32"/>
          <w:szCs w:val="32"/>
        </w:rPr>
        <w:t>（一）申请</w:t>
      </w:r>
    </w:p>
    <w:p>
      <w:pPr>
        <w:spacing w:line="578" w:lineRule="exact"/>
        <w:ind w:firstLine="627" w:firstLineChars="196"/>
        <w:rPr>
          <w:rFonts w:eastAsia="仿宋_GB2312"/>
          <w:sz w:val="32"/>
          <w:szCs w:val="32"/>
        </w:rPr>
      </w:pPr>
      <w:r>
        <w:rPr>
          <w:rFonts w:hint="eastAsia" w:eastAsia="仿宋_GB2312"/>
          <w:sz w:val="32"/>
          <w:szCs w:val="32"/>
        </w:rPr>
        <w:t>参保人员或委托人通过本市定点护理机构提出申请。定点护理机构对参保人员失能状态进行初步筛查，将建议进行失能评定的人员向委托经办机构申请，并提交以下材料：</w:t>
      </w:r>
    </w:p>
    <w:p>
      <w:pPr>
        <w:spacing w:line="578" w:lineRule="exact"/>
        <w:ind w:firstLine="627" w:firstLineChars="196"/>
        <w:rPr>
          <w:rFonts w:eastAsia="仿宋_GB2312"/>
          <w:sz w:val="32"/>
          <w:szCs w:val="32"/>
        </w:rPr>
      </w:pPr>
      <w:r>
        <w:rPr>
          <w:rFonts w:eastAsia="仿宋_GB2312"/>
          <w:sz w:val="32"/>
          <w:szCs w:val="32"/>
        </w:rPr>
        <w:t>1.</w:t>
      </w:r>
      <w:r>
        <w:rPr>
          <w:rFonts w:hint="eastAsia" w:eastAsia="仿宋_GB2312"/>
          <w:sz w:val="32"/>
          <w:szCs w:val="32"/>
        </w:rPr>
        <w:t>天津市长期护理保险失能评定申请表、初步筛查表（附件</w:t>
      </w:r>
      <w:r>
        <w:rPr>
          <w:rFonts w:eastAsia="仿宋_GB2312"/>
          <w:sz w:val="32"/>
          <w:szCs w:val="32"/>
        </w:rPr>
        <w:t>1</w:t>
      </w:r>
      <w:r>
        <w:rPr>
          <w:rFonts w:hint="eastAsia" w:eastAsia="仿宋_GB2312"/>
          <w:sz w:val="32"/>
          <w:szCs w:val="32"/>
        </w:rPr>
        <w:t>、</w:t>
      </w:r>
      <w:r>
        <w:rPr>
          <w:rFonts w:eastAsia="仿宋_GB2312"/>
          <w:sz w:val="32"/>
          <w:szCs w:val="32"/>
        </w:rPr>
        <w:t>2</w:t>
      </w:r>
      <w:r>
        <w:rPr>
          <w:rFonts w:hint="eastAsia" w:eastAsia="仿宋_GB2312"/>
          <w:sz w:val="32"/>
          <w:szCs w:val="32"/>
        </w:rPr>
        <w:t>）；</w:t>
      </w:r>
    </w:p>
    <w:p>
      <w:pPr>
        <w:spacing w:line="578" w:lineRule="exact"/>
        <w:ind w:firstLine="627" w:firstLineChars="196"/>
        <w:rPr>
          <w:rFonts w:eastAsia="仿宋_GB2312"/>
          <w:sz w:val="32"/>
          <w:szCs w:val="32"/>
        </w:rPr>
      </w:pPr>
      <w:r>
        <w:rPr>
          <w:rFonts w:eastAsia="仿宋_GB2312"/>
          <w:sz w:val="32"/>
          <w:szCs w:val="32"/>
        </w:rPr>
        <w:t>2.</w:t>
      </w:r>
      <w:r>
        <w:rPr>
          <w:rFonts w:hint="eastAsia" w:eastAsia="仿宋_GB2312"/>
          <w:sz w:val="32"/>
          <w:szCs w:val="32"/>
        </w:rPr>
        <w:t>参保人员在医疗机构、康复机构规范诊疗的病历、诊断证明和相关检查报告等材料；</w:t>
      </w:r>
    </w:p>
    <w:p>
      <w:pPr>
        <w:spacing w:line="578" w:lineRule="exact"/>
        <w:ind w:firstLine="640"/>
        <w:rPr>
          <w:rFonts w:eastAsia="仿宋_GB2312"/>
          <w:sz w:val="32"/>
          <w:szCs w:val="32"/>
        </w:rPr>
      </w:pPr>
      <w:r>
        <w:rPr>
          <w:rFonts w:eastAsia="仿宋_GB2312"/>
          <w:sz w:val="32"/>
          <w:szCs w:val="32"/>
        </w:rPr>
        <w:t>3.</w:t>
      </w:r>
      <w:r>
        <w:rPr>
          <w:rFonts w:hint="eastAsia" w:eastAsia="仿宋_GB2312"/>
          <w:sz w:val="32"/>
          <w:szCs w:val="32"/>
        </w:rPr>
        <w:t>本人医保电子凭证或社保卡、委托人有效身份证件；</w:t>
      </w:r>
    </w:p>
    <w:p>
      <w:pPr>
        <w:spacing w:line="578" w:lineRule="exact"/>
        <w:ind w:firstLine="640"/>
        <w:rPr>
          <w:rFonts w:eastAsia="仿宋_GB2312"/>
          <w:sz w:val="32"/>
          <w:szCs w:val="32"/>
        </w:rPr>
      </w:pPr>
      <w:r>
        <w:rPr>
          <w:rFonts w:eastAsia="仿宋_GB2312"/>
          <w:sz w:val="32"/>
          <w:szCs w:val="32"/>
        </w:rPr>
        <w:t>4.</w:t>
      </w:r>
      <w:r>
        <w:rPr>
          <w:rFonts w:hint="eastAsia" w:eastAsia="仿宋_GB2312"/>
          <w:sz w:val="32"/>
          <w:szCs w:val="32"/>
        </w:rPr>
        <w:t>与失能评定工作相关的其他材料。</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定点护理机构不得降低初步筛查标准，申请评定人员通过率（达到重度失能标准人数</w:t>
      </w:r>
      <w:r>
        <w:rPr>
          <w:rFonts w:eastAsia="仿宋_GB2312"/>
          <w:sz w:val="32"/>
          <w:szCs w:val="32"/>
        </w:rPr>
        <w:t>/</w:t>
      </w:r>
      <w:r>
        <w:rPr>
          <w:rFonts w:hint="eastAsia" w:eastAsia="仿宋_GB2312"/>
          <w:sz w:val="32"/>
          <w:szCs w:val="32"/>
        </w:rPr>
        <w:t>申请评定人员数</w:t>
      </w:r>
      <w:r>
        <w:rPr>
          <w:rFonts w:eastAsia="仿宋_GB2312"/>
          <w:sz w:val="32"/>
          <w:szCs w:val="32"/>
        </w:rPr>
        <w:t>×100%</w:t>
      </w:r>
      <w:r>
        <w:rPr>
          <w:rFonts w:hint="eastAsia" w:eastAsia="仿宋_GB2312"/>
          <w:sz w:val="32"/>
          <w:szCs w:val="32"/>
        </w:rPr>
        <w:t>）将作为考核指标，纳入协议管理。</w:t>
      </w:r>
    </w:p>
    <w:p>
      <w:pPr>
        <w:spacing w:line="578" w:lineRule="exact"/>
        <w:ind w:firstLine="628" w:firstLineChars="196"/>
        <w:rPr>
          <w:rFonts w:eastAsia="仿宋_GB2312"/>
          <w:b/>
          <w:bCs/>
          <w:sz w:val="32"/>
          <w:szCs w:val="32"/>
        </w:rPr>
      </w:pPr>
      <w:r>
        <w:rPr>
          <w:rFonts w:hint="eastAsia" w:hAnsi="Calibri" w:eastAsia="仿宋_GB2312"/>
          <w:b/>
          <w:bCs/>
          <w:sz w:val="32"/>
          <w:szCs w:val="32"/>
        </w:rPr>
        <w:t>（二）审核</w:t>
      </w:r>
    </w:p>
    <w:p>
      <w:pPr>
        <w:spacing w:line="578" w:lineRule="exact"/>
        <w:ind w:firstLine="640" w:firstLineChars="200"/>
        <w:rPr>
          <w:rFonts w:eastAsia="仿宋_GB2312"/>
          <w:sz w:val="32"/>
          <w:szCs w:val="32"/>
        </w:rPr>
      </w:pPr>
      <w:r>
        <w:rPr>
          <w:rFonts w:hint="eastAsia" w:eastAsia="仿宋_GB2312"/>
          <w:sz w:val="32"/>
          <w:szCs w:val="32"/>
        </w:rPr>
        <w:t>委托经办机构接到申请后，应在</w:t>
      </w:r>
      <w:r>
        <w:rPr>
          <w:rFonts w:eastAsia="仿宋_GB2312"/>
          <w:sz w:val="32"/>
          <w:szCs w:val="32"/>
        </w:rPr>
        <w:t>5</w:t>
      </w:r>
      <w:r>
        <w:rPr>
          <w:rFonts w:hint="eastAsia" w:eastAsia="仿宋_GB2312"/>
          <w:sz w:val="32"/>
          <w:szCs w:val="32"/>
        </w:rPr>
        <w:t>个工作日内对申请材料完整性，参保人员参保状态、诊疗情况进行审核。定点护理机构提交材料不齐全的，应当一次性告知需要补正材料。符合申请条件的，向失能评定机构派单；不符合申请条件的，应当告知并说明理由。</w:t>
      </w:r>
    </w:p>
    <w:p>
      <w:pPr>
        <w:spacing w:line="578" w:lineRule="exact"/>
        <w:ind w:firstLine="641" w:firstLineChars="200"/>
        <w:rPr>
          <w:rFonts w:eastAsia="仿宋_GB2312"/>
          <w:b/>
          <w:bCs/>
          <w:sz w:val="32"/>
          <w:szCs w:val="32"/>
        </w:rPr>
      </w:pPr>
      <w:r>
        <w:rPr>
          <w:rFonts w:hint="eastAsia" w:eastAsia="仿宋_GB2312"/>
          <w:b/>
          <w:bCs/>
          <w:sz w:val="32"/>
          <w:szCs w:val="32"/>
        </w:rPr>
        <w:t>（三）信息采集</w:t>
      </w:r>
    </w:p>
    <w:p>
      <w:pPr>
        <w:spacing w:line="578" w:lineRule="exact"/>
        <w:ind w:firstLine="640" w:firstLineChars="200"/>
        <w:rPr>
          <w:rFonts w:eastAsia="仿宋_GB2312"/>
          <w:sz w:val="32"/>
          <w:szCs w:val="32"/>
        </w:rPr>
      </w:pPr>
      <w:r>
        <w:rPr>
          <w:rFonts w:hint="eastAsia" w:eastAsia="仿宋_GB2312"/>
          <w:sz w:val="32"/>
          <w:szCs w:val="32"/>
        </w:rPr>
        <w:t>失能评定机构接到系统派单后，</w:t>
      </w:r>
      <w:r>
        <w:rPr>
          <w:rFonts w:eastAsia="仿宋_GB2312"/>
          <w:sz w:val="32"/>
          <w:szCs w:val="32"/>
        </w:rPr>
        <w:t>15</w:t>
      </w:r>
      <w:r>
        <w:rPr>
          <w:rFonts w:hint="eastAsia" w:eastAsia="仿宋_GB2312"/>
          <w:sz w:val="32"/>
          <w:szCs w:val="32"/>
        </w:rPr>
        <w:t>个工作日内完成失能评定的走访调查和信息采集。每次信息采集应至少配备</w:t>
      </w:r>
      <w:r>
        <w:rPr>
          <w:rFonts w:eastAsia="仿宋_GB2312"/>
          <w:sz w:val="32"/>
          <w:szCs w:val="32"/>
        </w:rPr>
        <w:t>1</w:t>
      </w:r>
      <w:r>
        <w:rPr>
          <w:rFonts w:hint="eastAsia" w:eastAsia="仿宋_GB2312"/>
          <w:sz w:val="32"/>
          <w:szCs w:val="32"/>
        </w:rPr>
        <w:t>名失能评定人员、</w:t>
      </w:r>
      <w:r>
        <w:rPr>
          <w:rFonts w:eastAsia="仿宋_GB2312"/>
          <w:sz w:val="32"/>
          <w:szCs w:val="32"/>
        </w:rPr>
        <w:t>1</w:t>
      </w:r>
      <w:r>
        <w:rPr>
          <w:rFonts w:hint="eastAsia" w:eastAsia="仿宋_GB2312"/>
          <w:sz w:val="32"/>
          <w:szCs w:val="32"/>
        </w:rPr>
        <w:t>名辅助工作人员。采集评定信息时，要求至少</w:t>
      </w:r>
      <w:r>
        <w:rPr>
          <w:rFonts w:eastAsia="仿宋_GB2312"/>
          <w:sz w:val="32"/>
          <w:szCs w:val="32"/>
        </w:rPr>
        <w:t>1</w:t>
      </w:r>
      <w:r>
        <w:rPr>
          <w:rFonts w:hint="eastAsia" w:eastAsia="仿宋_GB2312"/>
          <w:sz w:val="32"/>
          <w:szCs w:val="32"/>
        </w:rPr>
        <w:t>名参保人员的近亲属、监护人或委托人在场。</w:t>
      </w:r>
    </w:p>
    <w:p>
      <w:pPr>
        <w:spacing w:line="578" w:lineRule="exact"/>
        <w:ind w:firstLine="640" w:firstLineChars="200"/>
        <w:rPr>
          <w:rFonts w:eastAsia="仿宋_GB2312"/>
          <w:b/>
          <w:bCs/>
          <w:sz w:val="32"/>
          <w:szCs w:val="32"/>
        </w:rPr>
      </w:pPr>
      <w:r>
        <w:rPr>
          <w:rFonts w:hint="eastAsia" w:eastAsia="仿宋_GB2312"/>
          <w:sz w:val="32"/>
          <w:szCs w:val="32"/>
        </w:rPr>
        <w:t>失能评定人员做好参保人员失能检查和问询记录，辅助工作人员全过程影像记录。失能评定机构应将采集相关信息于当日上传长期护理保险信息系统，并按要求归档管理。</w:t>
      </w:r>
    </w:p>
    <w:p>
      <w:pPr>
        <w:numPr>
          <w:ilvl w:val="0"/>
          <w:numId w:val="2"/>
        </w:numPr>
        <w:spacing w:line="578" w:lineRule="exact"/>
        <w:ind w:firstLine="628" w:firstLineChars="196"/>
        <w:rPr>
          <w:rFonts w:eastAsia="仿宋_GB2312"/>
          <w:b/>
          <w:bCs/>
          <w:sz w:val="32"/>
          <w:szCs w:val="32"/>
        </w:rPr>
      </w:pPr>
      <w:r>
        <w:rPr>
          <w:rFonts w:hint="eastAsia" w:eastAsia="仿宋_GB2312"/>
          <w:b/>
          <w:bCs/>
          <w:sz w:val="32"/>
          <w:szCs w:val="32"/>
        </w:rPr>
        <w:t>结论生成</w:t>
      </w:r>
    </w:p>
    <w:p>
      <w:pPr>
        <w:spacing w:line="578" w:lineRule="exact"/>
        <w:ind w:firstLine="627" w:firstLineChars="196"/>
        <w:rPr>
          <w:rFonts w:eastAsia="仿宋_GB2312"/>
          <w:sz w:val="32"/>
          <w:szCs w:val="32"/>
        </w:rPr>
      </w:pPr>
      <w:r>
        <w:rPr>
          <w:rFonts w:hint="eastAsia" w:eastAsia="仿宋_GB2312"/>
          <w:sz w:val="32"/>
          <w:szCs w:val="32"/>
        </w:rPr>
        <w:t>结合参保人员现场采集信息等情况，由长期护理保险信息系统依据本市长期护理保险失能评定标准生成失能评定结论</w:t>
      </w:r>
      <w:r>
        <w:rPr>
          <w:rFonts w:hint="eastAsia" w:eastAsia="仿宋_GB2312"/>
          <w:sz w:val="32"/>
          <w:szCs w:val="32"/>
          <w:lang w:eastAsia="zh-CN"/>
        </w:rPr>
        <w:t>，</w:t>
      </w:r>
      <w:r>
        <w:rPr>
          <w:rFonts w:hint="eastAsia" w:eastAsia="仿宋_GB2312"/>
          <w:sz w:val="32"/>
          <w:szCs w:val="32"/>
          <w:lang w:eastAsia="zh-CN"/>
        </w:rPr>
        <w:t>加盖失能评定机构公章</w:t>
      </w:r>
      <w:r>
        <w:rPr>
          <w:rFonts w:hint="eastAsia" w:eastAsia="仿宋_GB2312"/>
          <w:sz w:val="32"/>
          <w:szCs w:val="32"/>
        </w:rPr>
        <w:t>。失能评定结论分为正常、</w:t>
      </w:r>
      <w:r>
        <w:rPr>
          <w:rFonts w:eastAsia="仿宋_GB2312"/>
          <w:sz w:val="32"/>
          <w:szCs w:val="32"/>
        </w:rPr>
        <w:t>1</w:t>
      </w:r>
      <w:r>
        <w:rPr>
          <w:rFonts w:hint="eastAsia" w:eastAsia="仿宋_GB2312"/>
          <w:sz w:val="32"/>
          <w:szCs w:val="32"/>
        </w:rPr>
        <w:t>、</w:t>
      </w:r>
      <w:r>
        <w:rPr>
          <w:rFonts w:eastAsia="仿宋_GB2312"/>
          <w:sz w:val="32"/>
          <w:szCs w:val="32"/>
        </w:rPr>
        <w:t>2</w:t>
      </w:r>
      <w:r>
        <w:rPr>
          <w:rFonts w:hint="eastAsia" w:eastAsia="仿宋_GB2312"/>
          <w:sz w:val="32"/>
          <w:szCs w:val="32"/>
        </w:rPr>
        <w:t>、</w:t>
      </w:r>
      <w:r>
        <w:rPr>
          <w:rFonts w:eastAsia="仿宋_GB2312"/>
          <w:sz w:val="32"/>
          <w:szCs w:val="32"/>
        </w:rPr>
        <w:t>3</w:t>
      </w:r>
      <w:r>
        <w:rPr>
          <w:rFonts w:hint="eastAsia" w:eastAsia="仿宋_GB2312"/>
          <w:sz w:val="32"/>
          <w:szCs w:val="32"/>
        </w:rPr>
        <w:t>、</w:t>
      </w:r>
      <w:r>
        <w:rPr>
          <w:rFonts w:eastAsia="仿宋_GB2312"/>
          <w:sz w:val="32"/>
          <w:szCs w:val="32"/>
        </w:rPr>
        <w:t>4</w:t>
      </w:r>
      <w:r>
        <w:rPr>
          <w:rFonts w:hint="eastAsia" w:eastAsia="仿宋_GB2312"/>
          <w:sz w:val="32"/>
          <w:szCs w:val="32"/>
        </w:rPr>
        <w:t>、</w:t>
      </w:r>
      <w:r>
        <w:rPr>
          <w:rFonts w:eastAsia="仿宋_GB2312"/>
          <w:sz w:val="32"/>
          <w:szCs w:val="32"/>
        </w:rPr>
        <w:t>5</w:t>
      </w:r>
      <w:r>
        <w:rPr>
          <w:rFonts w:hint="eastAsia" w:eastAsia="仿宋_GB2312"/>
          <w:sz w:val="32"/>
          <w:szCs w:val="32"/>
        </w:rPr>
        <w:t>、</w:t>
      </w:r>
      <w:r>
        <w:rPr>
          <w:rFonts w:eastAsia="仿宋_GB2312"/>
          <w:sz w:val="32"/>
          <w:szCs w:val="32"/>
        </w:rPr>
        <w:t>6</w:t>
      </w:r>
      <w:r>
        <w:rPr>
          <w:rFonts w:hint="eastAsia" w:eastAsia="仿宋_GB2312"/>
          <w:sz w:val="32"/>
          <w:szCs w:val="32"/>
        </w:rPr>
        <w:t>七个等级，其中，</w:t>
      </w:r>
      <w:r>
        <w:rPr>
          <w:rFonts w:eastAsia="仿宋_GB2312"/>
          <w:sz w:val="32"/>
          <w:szCs w:val="32"/>
        </w:rPr>
        <w:t>5</w:t>
      </w:r>
      <w:r>
        <w:rPr>
          <w:rFonts w:hint="eastAsia" w:eastAsia="仿宋_GB2312"/>
          <w:sz w:val="32"/>
          <w:szCs w:val="32"/>
        </w:rPr>
        <w:t>级、</w:t>
      </w:r>
      <w:r>
        <w:rPr>
          <w:rFonts w:eastAsia="仿宋_GB2312"/>
          <w:sz w:val="32"/>
          <w:szCs w:val="32"/>
        </w:rPr>
        <w:t>6</w:t>
      </w:r>
      <w:r>
        <w:rPr>
          <w:rFonts w:hint="eastAsia" w:eastAsia="仿宋_GB2312"/>
          <w:sz w:val="32"/>
          <w:szCs w:val="32"/>
        </w:rPr>
        <w:t>级视为达到重度失能标准。</w:t>
      </w:r>
    </w:p>
    <w:p>
      <w:pPr>
        <w:spacing w:line="578" w:lineRule="exact"/>
        <w:ind w:firstLine="628" w:firstLineChars="196"/>
        <w:rPr>
          <w:rFonts w:eastAsia="仿宋_GB2312"/>
          <w:b/>
          <w:bCs/>
          <w:sz w:val="32"/>
          <w:szCs w:val="32"/>
        </w:rPr>
      </w:pPr>
      <w:r>
        <w:rPr>
          <w:rFonts w:hint="eastAsia" w:eastAsia="仿宋_GB2312"/>
          <w:b/>
          <w:bCs/>
          <w:sz w:val="32"/>
          <w:szCs w:val="32"/>
        </w:rPr>
        <w:t>（五）社会公示</w:t>
      </w:r>
    </w:p>
    <w:p>
      <w:pPr>
        <w:spacing w:line="578" w:lineRule="exact"/>
        <w:ind w:firstLine="627" w:firstLineChars="196"/>
        <w:rPr>
          <w:rFonts w:eastAsia="仿宋_GB2312"/>
          <w:sz w:val="32"/>
          <w:szCs w:val="32"/>
        </w:rPr>
      </w:pPr>
      <w:r>
        <w:rPr>
          <w:rFonts w:hint="eastAsia" w:eastAsia="仿宋_GB2312"/>
          <w:sz w:val="32"/>
          <w:szCs w:val="32"/>
        </w:rPr>
        <w:t>对达到重度失能标准的，委托经办机构向社会公示</w:t>
      </w:r>
      <w:r>
        <w:rPr>
          <w:rFonts w:eastAsia="仿宋_GB2312"/>
          <w:sz w:val="32"/>
          <w:szCs w:val="32"/>
        </w:rPr>
        <w:t>5</w:t>
      </w:r>
      <w:r>
        <w:rPr>
          <w:rFonts w:hint="eastAsia" w:eastAsia="仿宋_GB2312"/>
          <w:sz w:val="32"/>
          <w:szCs w:val="32"/>
        </w:rPr>
        <w:t>个工作日无异议后，纳入享受长期护理保险待遇人员范围。</w:t>
      </w:r>
    </w:p>
    <w:p>
      <w:pPr>
        <w:spacing w:line="578" w:lineRule="exact"/>
        <w:ind w:firstLine="628" w:firstLineChars="196"/>
        <w:rPr>
          <w:rFonts w:eastAsia="仿宋_GB2312"/>
          <w:b/>
          <w:bCs/>
          <w:sz w:val="32"/>
          <w:szCs w:val="32"/>
        </w:rPr>
      </w:pPr>
      <w:r>
        <w:rPr>
          <w:rFonts w:hint="eastAsia" w:eastAsia="仿宋_GB2312"/>
          <w:b/>
          <w:bCs/>
          <w:sz w:val="32"/>
          <w:szCs w:val="32"/>
        </w:rPr>
        <w:t>（六）结论送达</w:t>
      </w:r>
    </w:p>
    <w:p>
      <w:pPr>
        <w:spacing w:line="578" w:lineRule="exact"/>
        <w:ind w:firstLine="627" w:firstLineChars="196"/>
        <w:rPr>
          <w:rFonts w:eastAsia="仿宋_GB2312"/>
          <w:b/>
          <w:bCs/>
          <w:sz w:val="32"/>
          <w:szCs w:val="32"/>
        </w:rPr>
      </w:pPr>
      <w:r>
        <w:rPr>
          <w:rFonts w:hint="eastAsia" w:eastAsia="仿宋_GB2312"/>
          <w:sz w:val="32"/>
          <w:szCs w:val="32"/>
        </w:rPr>
        <w:t>公示期结束后，委托经办机构将失能评定结论上传长期护理保险信息系统。定点护理机构应在</w:t>
      </w:r>
      <w:r>
        <w:rPr>
          <w:rFonts w:eastAsia="仿宋_GB2312"/>
          <w:sz w:val="32"/>
          <w:szCs w:val="32"/>
        </w:rPr>
        <w:t>5</w:t>
      </w:r>
      <w:r>
        <w:rPr>
          <w:rFonts w:hint="eastAsia" w:eastAsia="仿宋_GB2312"/>
          <w:sz w:val="32"/>
          <w:szCs w:val="32"/>
        </w:rPr>
        <w:t>个工作日内，登录长期护理保险信息系统下载失能评定结论，并及时告知参保人员评定结果。下载失能评定结论视同为结论送达。</w:t>
      </w:r>
    </w:p>
    <w:p>
      <w:pPr>
        <w:spacing w:line="578" w:lineRule="exact"/>
        <w:ind w:firstLine="641" w:firstLineChars="200"/>
        <w:rPr>
          <w:rFonts w:eastAsia="仿宋_GB2312"/>
          <w:sz w:val="32"/>
          <w:szCs w:val="32"/>
        </w:rPr>
      </w:pPr>
      <w:r>
        <w:rPr>
          <w:rFonts w:hint="eastAsia" w:eastAsia="仿宋_GB2312"/>
          <w:b/>
          <w:bCs/>
          <w:sz w:val="32"/>
          <w:szCs w:val="32"/>
        </w:rPr>
        <w:t>第十三条</w:t>
      </w:r>
      <w:r>
        <w:rPr>
          <w:rFonts w:eastAsia="仿宋_GB2312"/>
          <w:b/>
          <w:bCs/>
          <w:sz w:val="32"/>
          <w:szCs w:val="32"/>
        </w:rPr>
        <w:t xml:space="preserve"> </w:t>
      </w:r>
      <w:r>
        <w:rPr>
          <w:rFonts w:hint="eastAsia" w:eastAsia="仿宋_GB2312"/>
          <w:sz w:val="32"/>
          <w:szCs w:val="32"/>
        </w:rPr>
        <w:t>参保人员或委托人对初次评定结论不认同的，可在结论送达之日起</w:t>
      </w:r>
      <w:r>
        <w:rPr>
          <w:rFonts w:eastAsia="仿宋_GB2312"/>
          <w:sz w:val="32"/>
          <w:szCs w:val="32"/>
        </w:rPr>
        <w:t>15</w:t>
      </w:r>
      <w:r>
        <w:rPr>
          <w:rFonts w:hint="eastAsia" w:eastAsia="仿宋_GB2312"/>
          <w:sz w:val="32"/>
          <w:szCs w:val="32"/>
        </w:rPr>
        <w:t>个工作日内，通过定点护理机构向委托经办机构提出异议复评申请。委托经办机构应在接到申请之日起</w:t>
      </w:r>
      <w:r>
        <w:rPr>
          <w:rFonts w:eastAsia="仿宋_GB2312"/>
          <w:sz w:val="32"/>
          <w:szCs w:val="32"/>
        </w:rPr>
        <w:t>5</w:t>
      </w:r>
      <w:r>
        <w:rPr>
          <w:rFonts w:hint="eastAsia" w:eastAsia="仿宋_GB2312"/>
          <w:sz w:val="32"/>
          <w:szCs w:val="32"/>
        </w:rPr>
        <w:t>个工作日内转辖区医疗保障行政部门。</w:t>
      </w:r>
    </w:p>
    <w:p>
      <w:pPr>
        <w:spacing w:line="578" w:lineRule="exact"/>
        <w:ind w:firstLine="640" w:firstLineChars="200"/>
        <w:rPr>
          <w:rFonts w:eastAsia="仿宋_GB2312"/>
          <w:sz w:val="32"/>
          <w:szCs w:val="32"/>
        </w:rPr>
      </w:pPr>
      <w:r>
        <w:rPr>
          <w:rFonts w:hint="eastAsia" w:eastAsia="仿宋_GB2312"/>
          <w:sz w:val="32"/>
          <w:szCs w:val="32"/>
        </w:rPr>
        <w:t>区医疗保障行政部门会同区卫生健康、民政行政部门指定辖区内二级（含）以上基本医疗保障定点医疗机构作为辖区内异议复评机构，并在</w:t>
      </w:r>
      <w:r>
        <w:rPr>
          <w:rFonts w:eastAsia="仿宋_GB2312"/>
          <w:sz w:val="32"/>
          <w:szCs w:val="32"/>
        </w:rPr>
        <w:t>30</w:t>
      </w:r>
      <w:r>
        <w:rPr>
          <w:rFonts w:hint="eastAsia" w:eastAsia="仿宋_GB2312"/>
          <w:sz w:val="32"/>
          <w:szCs w:val="32"/>
        </w:rPr>
        <w:t>个工作日内完成异议复评，具体流程参照初次评定执行。</w:t>
      </w:r>
    </w:p>
    <w:p>
      <w:pPr>
        <w:numPr>
          <w:ilvl w:val="0"/>
          <w:numId w:val="3"/>
        </w:numPr>
        <w:autoSpaceDE w:val="0"/>
        <w:autoSpaceDN w:val="0"/>
        <w:adjustRightInd w:val="0"/>
        <w:spacing w:line="578" w:lineRule="exact"/>
        <w:ind w:firstLine="640" w:firstLineChars="200"/>
        <w:rPr>
          <w:rFonts w:eastAsia="仿宋_GB2312"/>
          <w:b/>
          <w:bCs/>
          <w:kern w:val="0"/>
          <w:sz w:val="32"/>
          <w:szCs w:val="32"/>
        </w:rPr>
      </w:pPr>
      <w:r>
        <w:rPr>
          <w:rFonts w:hint="eastAsia" w:eastAsia="仿宋_GB2312"/>
          <w:kern w:val="0"/>
          <w:sz w:val="32"/>
          <w:szCs w:val="32"/>
        </w:rPr>
        <w:t>各部门、机构在协议管理、监督检查过程中，发现参保人员失能状态发生变化的，或参保人员被实名举报的，统一由委托经办机构转失能评定机构进行状态复评，</w:t>
      </w:r>
      <w:r>
        <w:rPr>
          <w:rFonts w:hint="eastAsia" w:eastAsia="仿宋_GB2312"/>
          <w:sz w:val="32"/>
          <w:szCs w:val="32"/>
        </w:rPr>
        <w:t>具体流程参照初次评定执行</w:t>
      </w:r>
      <w:r>
        <w:rPr>
          <w:rFonts w:hint="eastAsia" w:eastAsia="仿宋_GB2312"/>
          <w:kern w:val="0"/>
          <w:sz w:val="32"/>
          <w:szCs w:val="32"/>
        </w:rPr>
        <w:t>。初次评定机构及其人员应回避。</w:t>
      </w:r>
    </w:p>
    <w:p>
      <w:pPr>
        <w:autoSpaceDE w:val="0"/>
        <w:autoSpaceDN w:val="0"/>
        <w:adjustRightInd w:val="0"/>
        <w:spacing w:line="578" w:lineRule="exact"/>
        <w:ind w:firstLine="641" w:firstLineChars="200"/>
        <w:rPr>
          <w:rFonts w:eastAsia="仿宋_GB2312"/>
          <w:kern w:val="0"/>
          <w:sz w:val="32"/>
          <w:szCs w:val="32"/>
        </w:rPr>
      </w:pPr>
      <w:r>
        <w:rPr>
          <w:rFonts w:hint="eastAsia" w:eastAsia="仿宋_GB2312"/>
          <w:b/>
          <w:bCs/>
          <w:kern w:val="0"/>
          <w:sz w:val="32"/>
          <w:szCs w:val="32"/>
        </w:rPr>
        <w:t>第十五条</w:t>
      </w:r>
      <w:r>
        <w:rPr>
          <w:rFonts w:eastAsia="仿宋_GB2312"/>
          <w:kern w:val="0"/>
          <w:sz w:val="32"/>
          <w:szCs w:val="32"/>
        </w:rPr>
        <w:t xml:space="preserve"> </w:t>
      </w:r>
      <w:r>
        <w:rPr>
          <w:rFonts w:hint="eastAsia" w:eastAsia="仿宋_GB2312"/>
          <w:kern w:val="0"/>
          <w:sz w:val="32"/>
          <w:szCs w:val="32"/>
        </w:rPr>
        <w:t>未达到重度失能标准，因病情变化需再次申请评定的，可在生效评定结论作出之日起</w:t>
      </w:r>
      <w:r>
        <w:rPr>
          <w:rFonts w:eastAsia="仿宋_GB2312"/>
          <w:kern w:val="0"/>
          <w:sz w:val="32"/>
          <w:szCs w:val="32"/>
        </w:rPr>
        <w:t>6</w:t>
      </w:r>
      <w:r>
        <w:rPr>
          <w:rFonts w:hint="eastAsia" w:eastAsia="仿宋_GB2312"/>
          <w:kern w:val="0"/>
          <w:sz w:val="32"/>
          <w:szCs w:val="32"/>
        </w:rPr>
        <w:t>个月后重新申请。</w:t>
      </w:r>
    </w:p>
    <w:p>
      <w:pPr>
        <w:spacing w:line="578" w:lineRule="exact"/>
        <w:ind w:firstLine="641" w:firstLineChars="200"/>
        <w:rPr>
          <w:rFonts w:eastAsia="仿宋_GB2312"/>
          <w:sz w:val="32"/>
          <w:szCs w:val="32"/>
        </w:rPr>
      </w:pPr>
      <w:r>
        <w:rPr>
          <w:rFonts w:hint="eastAsia" w:eastAsia="仿宋_GB2312"/>
          <w:b/>
          <w:bCs/>
          <w:sz w:val="32"/>
          <w:szCs w:val="32"/>
        </w:rPr>
        <w:t>第十六条</w:t>
      </w:r>
      <w:r>
        <w:rPr>
          <w:rFonts w:eastAsia="仿宋_GB2312"/>
          <w:sz w:val="32"/>
          <w:szCs w:val="32"/>
        </w:rPr>
        <w:t xml:space="preserve"> </w:t>
      </w:r>
      <w:r>
        <w:rPr>
          <w:rFonts w:hint="eastAsia" w:eastAsia="仿宋_GB2312"/>
          <w:sz w:val="32"/>
          <w:szCs w:val="32"/>
        </w:rPr>
        <w:t>有以下情形之一的，不符合失能评定申请条件：</w:t>
      </w:r>
    </w:p>
    <w:p>
      <w:pPr>
        <w:spacing w:line="578" w:lineRule="exact"/>
        <w:ind w:firstLine="640" w:firstLineChars="200"/>
        <w:rPr>
          <w:rFonts w:eastAsia="仿宋_GB2312"/>
          <w:sz w:val="32"/>
          <w:szCs w:val="32"/>
        </w:rPr>
      </w:pPr>
      <w:r>
        <w:rPr>
          <w:rFonts w:hint="eastAsia" w:eastAsia="仿宋_GB2312"/>
          <w:sz w:val="32"/>
          <w:szCs w:val="32"/>
        </w:rPr>
        <w:t>（一）申请当月未缴纳长期护理保险费的；</w:t>
      </w:r>
    </w:p>
    <w:p>
      <w:pPr>
        <w:spacing w:line="578" w:lineRule="exact"/>
        <w:ind w:firstLine="640" w:firstLineChars="200"/>
        <w:rPr>
          <w:rFonts w:eastAsia="仿宋_GB2312"/>
          <w:sz w:val="32"/>
          <w:szCs w:val="32"/>
        </w:rPr>
      </w:pPr>
      <w:r>
        <w:rPr>
          <w:rFonts w:hint="eastAsia" w:eastAsia="仿宋_GB2312"/>
          <w:sz w:val="32"/>
          <w:szCs w:val="32"/>
        </w:rPr>
        <w:t>（二）经医疗机构或康复机构规范诊疗、失能状态持续未满</w:t>
      </w:r>
      <w:r>
        <w:rPr>
          <w:rFonts w:eastAsia="仿宋_GB2312"/>
          <w:sz w:val="32"/>
          <w:szCs w:val="32"/>
        </w:rPr>
        <w:t>6</w:t>
      </w:r>
      <w:r>
        <w:rPr>
          <w:rFonts w:hint="eastAsia" w:eastAsia="仿宋_GB2312"/>
          <w:sz w:val="32"/>
          <w:szCs w:val="32"/>
        </w:rPr>
        <w:t>个月的；</w:t>
      </w:r>
    </w:p>
    <w:p>
      <w:pPr>
        <w:spacing w:line="578" w:lineRule="exact"/>
        <w:ind w:firstLine="640" w:firstLineChars="200"/>
        <w:rPr>
          <w:rFonts w:eastAsia="仿宋_GB2312"/>
          <w:sz w:val="32"/>
          <w:szCs w:val="32"/>
        </w:rPr>
      </w:pPr>
      <w:r>
        <w:rPr>
          <w:rFonts w:hint="eastAsia" w:eastAsia="仿宋_GB2312"/>
          <w:sz w:val="32"/>
          <w:szCs w:val="32"/>
        </w:rPr>
        <w:t>（三）距上次生效评定结论作出之日起，未满</w:t>
      </w:r>
      <w:r>
        <w:rPr>
          <w:rFonts w:eastAsia="仿宋_GB2312"/>
          <w:sz w:val="32"/>
          <w:szCs w:val="32"/>
        </w:rPr>
        <w:t>6</w:t>
      </w:r>
      <w:r>
        <w:rPr>
          <w:rFonts w:hint="eastAsia" w:eastAsia="仿宋_GB2312"/>
          <w:sz w:val="32"/>
          <w:szCs w:val="32"/>
        </w:rPr>
        <w:t>个月的。</w:t>
      </w:r>
    </w:p>
    <w:p>
      <w:pPr>
        <w:autoSpaceDE w:val="0"/>
        <w:autoSpaceDN w:val="0"/>
        <w:adjustRightInd w:val="0"/>
        <w:spacing w:line="578" w:lineRule="exact"/>
        <w:ind w:firstLine="641" w:firstLineChars="200"/>
        <w:rPr>
          <w:rFonts w:eastAsia="仿宋_GB2312"/>
          <w:kern w:val="0"/>
          <w:sz w:val="32"/>
          <w:szCs w:val="32"/>
        </w:rPr>
      </w:pPr>
      <w:r>
        <w:rPr>
          <w:rFonts w:hint="eastAsia" w:eastAsia="仿宋_GB2312"/>
          <w:b/>
          <w:bCs/>
          <w:kern w:val="0"/>
          <w:sz w:val="32"/>
          <w:szCs w:val="32"/>
        </w:rPr>
        <w:t>第十七条</w:t>
      </w:r>
      <w:r>
        <w:rPr>
          <w:rFonts w:eastAsia="仿宋_GB2312"/>
          <w:kern w:val="0"/>
          <w:sz w:val="32"/>
          <w:szCs w:val="32"/>
        </w:rPr>
        <w:t xml:space="preserve"> </w:t>
      </w:r>
      <w:r>
        <w:rPr>
          <w:rFonts w:hint="eastAsia" w:eastAsia="仿宋_GB2312"/>
          <w:color w:val="000000"/>
          <w:kern w:val="0"/>
          <w:sz w:val="32"/>
          <w:szCs w:val="32"/>
        </w:rPr>
        <w:t>复评结论为最终结论。</w:t>
      </w:r>
      <w:r>
        <w:rPr>
          <w:rFonts w:hint="eastAsia" w:eastAsia="仿宋_GB2312"/>
          <w:kern w:val="0"/>
          <w:sz w:val="32"/>
          <w:szCs w:val="32"/>
        </w:rPr>
        <w:t>评定结论有效期不超过</w:t>
      </w:r>
      <w:r>
        <w:rPr>
          <w:rFonts w:eastAsia="仿宋_GB2312"/>
          <w:kern w:val="0"/>
          <w:sz w:val="32"/>
          <w:szCs w:val="32"/>
        </w:rPr>
        <w:t>2</w:t>
      </w:r>
      <w:r>
        <w:rPr>
          <w:rFonts w:hint="eastAsia" w:eastAsia="仿宋_GB2312"/>
          <w:kern w:val="0"/>
          <w:sz w:val="32"/>
          <w:szCs w:val="32"/>
        </w:rPr>
        <w:t>年，有效期满前，参保人员需重新申请失能评定。</w:t>
      </w:r>
    </w:p>
    <w:p>
      <w:pPr>
        <w:spacing w:line="578" w:lineRule="exact"/>
        <w:ind w:firstLine="643"/>
        <w:rPr>
          <w:rFonts w:eastAsia="仿宋_GB2312"/>
          <w:sz w:val="32"/>
          <w:szCs w:val="32"/>
        </w:rPr>
      </w:pPr>
      <w:r>
        <w:rPr>
          <w:rFonts w:hint="eastAsia" w:eastAsia="仿宋_GB2312"/>
          <w:b/>
          <w:bCs/>
          <w:sz w:val="32"/>
          <w:szCs w:val="32"/>
        </w:rPr>
        <w:t>第十八条</w:t>
      </w:r>
      <w:r>
        <w:rPr>
          <w:rFonts w:eastAsia="仿宋_GB2312"/>
          <w:b/>
          <w:bCs/>
          <w:sz w:val="32"/>
          <w:szCs w:val="32"/>
        </w:rPr>
        <w:t xml:space="preserve"> </w:t>
      </w:r>
      <w:r>
        <w:rPr>
          <w:rFonts w:hint="eastAsia" w:eastAsia="仿宋_GB2312"/>
          <w:sz w:val="32"/>
          <w:szCs w:val="32"/>
        </w:rPr>
        <w:t>参保人员应当按照要求配合失能评定机构及其评定人员开展失能评定工作。无正当理由拒不配合失能评定的，当次评定终止，作为未达到重度失能标准处理。</w:t>
      </w:r>
    </w:p>
    <w:p>
      <w:pPr>
        <w:spacing w:line="578" w:lineRule="exact"/>
        <w:ind w:right="-58" w:firstLine="640"/>
        <w:rPr>
          <w:rFonts w:eastAsia="仿宋_GB2312"/>
          <w:sz w:val="32"/>
          <w:szCs w:val="32"/>
        </w:rPr>
      </w:pPr>
      <w:r>
        <w:rPr>
          <w:rFonts w:eastAsia="仿宋_GB2312"/>
          <w:sz w:val="32"/>
          <w:szCs w:val="32"/>
        </w:rPr>
        <w:t xml:space="preserve"> </w:t>
      </w:r>
    </w:p>
    <w:p>
      <w:pPr>
        <w:spacing w:line="578" w:lineRule="exact"/>
        <w:ind w:right="-58"/>
        <w:jc w:val="center"/>
        <w:rPr>
          <w:rFonts w:eastAsia="黑体"/>
          <w:sz w:val="32"/>
          <w:szCs w:val="32"/>
        </w:rPr>
      </w:pPr>
      <w:r>
        <w:rPr>
          <w:rFonts w:hint="eastAsia" w:eastAsia="黑体"/>
          <w:sz w:val="32"/>
          <w:szCs w:val="32"/>
        </w:rPr>
        <w:t>第四章</w:t>
      </w:r>
      <w:r>
        <w:rPr>
          <w:rFonts w:eastAsia="黑体"/>
          <w:sz w:val="32"/>
          <w:szCs w:val="32"/>
        </w:rPr>
        <w:t xml:space="preserve"> </w:t>
      </w:r>
      <w:r>
        <w:rPr>
          <w:rFonts w:hint="eastAsia" w:eastAsia="黑体"/>
          <w:sz w:val="32"/>
          <w:szCs w:val="32"/>
        </w:rPr>
        <w:t>评定管理和服务</w:t>
      </w:r>
    </w:p>
    <w:p>
      <w:pPr>
        <w:spacing w:line="578" w:lineRule="exact"/>
        <w:ind w:firstLine="643"/>
        <w:rPr>
          <w:rFonts w:eastAsia="仿宋_GB2312"/>
          <w:sz w:val="32"/>
          <w:szCs w:val="32"/>
        </w:rPr>
      </w:pPr>
      <w:r>
        <w:rPr>
          <w:rFonts w:hint="eastAsia" w:eastAsia="仿宋_GB2312"/>
          <w:b/>
          <w:bCs/>
          <w:sz w:val="32"/>
          <w:szCs w:val="32"/>
        </w:rPr>
        <w:t>第十九条</w:t>
      </w:r>
      <w:r>
        <w:rPr>
          <w:rFonts w:eastAsia="仿宋_GB2312"/>
          <w:b/>
          <w:bCs/>
          <w:sz w:val="32"/>
          <w:szCs w:val="32"/>
        </w:rPr>
        <w:t xml:space="preserve"> </w:t>
      </w:r>
      <w:r>
        <w:rPr>
          <w:rFonts w:hint="eastAsia" w:eastAsia="仿宋_GB2312"/>
          <w:sz w:val="32"/>
          <w:szCs w:val="32"/>
        </w:rPr>
        <w:t>长期护理保险失能评定标准按照本市长期护理保险失能评定标准规范执行，国家医保局颁布全国统一的失能评定标准后，按照国家评定标准调整完善。</w:t>
      </w:r>
    </w:p>
    <w:p>
      <w:pPr>
        <w:spacing w:line="578" w:lineRule="exact"/>
        <w:ind w:firstLine="641" w:firstLineChars="200"/>
        <w:rPr>
          <w:rFonts w:eastAsia="仿宋_GB2312"/>
          <w:sz w:val="32"/>
          <w:szCs w:val="32"/>
        </w:rPr>
      </w:pPr>
      <w:r>
        <w:rPr>
          <w:rFonts w:hint="eastAsia" w:eastAsia="仿宋_GB2312"/>
          <w:b/>
          <w:bCs/>
          <w:sz w:val="32"/>
          <w:szCs w:val="32"/>
        </w:rPr>
        <w:t>第二十条</w:t>
      </w:r>
      <w:r>
        <w:rPr>
          <w:rFonts w:eastAsia="仿宋_GB2312"/>
          <w:sz w:val="32"/>
          <w:szCs w:val="32"/>
        </w:rPr>
        <w:t xml:space="preserve"> </w:t>
      </w:r>
      <w:r>
        <w:rPr>
          <w:rFonts w:hint="eastAsia" w:eastAsia="仿宋_GB2312"/>
          <w:sz w:val="32"/>
          <w:szCs w:val="32"/>
        </w:rPr>
        <w:t>失能评定费按照实际评定人数和</w:t>
      </w:r>
      <w:r>
        <w:rPr>
          <w:rFonts w:eastAsia="仿宋_GB2312"/>
          <w:sz w:val="32"/>
          <w:szCs w:val="32"/>
        </w:rPr>
        <w:t>200</w:t>
      </w:r>
      <w:r>
        <w:rPr>
          <w:rFonts w:hint="eastAsia" w:eastAsia="仿宋_GB2312"/>
          <w:sz w:val="32"/>
          <w:szCs w:val="32"/>
        </w:rPr>
        <w:t>元</w:t>
      </w:r>
      <w:r>
        <w:rPr>
          <w:rFonts w:eastAsia="仿宋_GB2312"/>
          <w:sz w:val="32"/>
          <w:szCs w:val="32"/>
        </w:rPr>
        <w:t>/</w:t>
      </w:r>
      <w:r>
        <w:rPr>
          <w:rFonts w:hint="eastAsia" w:eastAsia="仿宋_GB2312"/>
          <w:sz w:val="32"/>
          <w:szCs w:val="32"/>
        </w:rPr>
        <w:t>人次标准确定。试点阶段暂时从长期护理保险基金中列支，具体由委托经办机构与失能评定机构、异议复评机构按月结算。</w:t>
      </w:r>
    </w:p>
    <w:p>
      <w:pPr>
        <w:spacing w:line="578" w:lineRule="exact"/>
        <w:ind w:firstLine="643"/>
        <w:rPr>
          <w:rFonts w:eastAsia="仿宋_GB2312"/>
          <w:sz w:val="32"/>
          <w:szCs w:val="32"/>
        </w:rPr>
      </w:pPr>
      <w:r>
        <w:rPr>
          <w:rFonts w:hint="eastAsia" w:eastAsia="仿宋_GB2312"/>
          <w:b/>
          <w:bCs/>
          <w:sz w:val="32"/>
          <w:szCs w:val="32"/>
        </w:rPr>
        <w:t>第二十一条</w:t>
      </w:r>
      <w:r>
        <w:rPr>
          <w:rFonts w:eastAsia="仿宋_GB2312"/>
          <w:b/>
          <w:bCs/>
          <w:sz w:val="32"/>
          <w:szCs w:val="32"/>
        </w:rPr>
        <w:t xml:space="preserve"> </w:t>
      </w:r>
      <w:r>
        <w:rPr>
          <w:rFonts w:hint="eastAsia" w:eastAsia="仿宋_GB2312"/>
          <w:kern w:val="0"/>
          <w:sz w:val="32"/>
          <w:szCs w:val="32"/>
        </w:rPr>
        <w:t>委托经办机构</w:t>
      </w:r>
      <w:r>
        <w:rPr>
          <w:rFonts w:hint="eastAsia" w:eastAsia="仿宋_GB2312"/>
          <w:sz w:val="32"/>
          <w:szCs w:val="32"/>
        </w:rPr>
        <w:t>按月将</w:t>
      </w:r>
      <w:r>
        <w:rPr>
          <w:rFonts w:hint="eastAsia" w:eastAsia="仿宋_GB2312"/>
          <w:kern w:val="0"/>
          <w:sz w:val="32"/>
          <w:szCs w:val="32"/>
        </w:rPr>
        <w:t>与失能评定机构结算的失能评定费按</w:t>
      </w:r>
      <w:r>
        <w:rPr>
          <w:rFonts w:eastAsia="仿宋_GB2312"/>
          <w:sz w:val="32"/>
          <w:szCs w:val="32"/>
        </w:rPr>
        <w:t>90%</w:t>
      </w:r>
      <w:r>
        <w:rPr>
          <w:rFonts w:hint="eastAsia" w:eastAsia="仿宋_GB2312"/>
          <w:kern w:val="0"/>
          <w:sz w:val="32"/>
          <w:szCs w:val="32"/>
        </w:rPr>
        <w:t>进行</w:t>
      </w:r>
      <w:r>
        <w:rPr>
          <w:rFonts w:hint="eastAsia" w:eastAsia="仿宋_GB2312"/>
          <w:sz w:val="32"/>
          <w:szCs w:val="32"/>
        </w:rPr>
        <w:t>划拨，其余</w:t>
      </w:r>
      <w:r>
        <w:rPr>
          <w:rFonts w:eastAsia="仿宋_GB2312"/>
          <w:sz w:val="32"/>
          <w:szCs w:val="32"/>
        </w:rPr>
        <w:t>10%</w:t>
      </w:r>
      <w:r>
        <w:rPr>
          <w:rFonts w:hint="eastAsia" w:eastAsia="仿宋_GB2312"/>
          <w:sz w:val="32"/>
          <w:szCs w:val="32"/>
        </w:rPr>
        <w:t>作为服务质量保证金，于年终清算考核后结算。</w:t>
      </w:r>
    </w:p>
    <w:p>
      <w:pPr>
        <w:autoSpaceDE w:val="0"/>
        <w:autoSpaceDN w:val="0"/>
        <w:adjustRightInd w:val="0"/>
        <w:spacing w:line="578" w:lineRule="exact"/>
        <w:ind w:firstLine="640"/>
        <w:jc w:val="left"/>
        <w:rPr>
          <w:rFonts w:eastAsia="仿宋_GB2312"/>
          <w:kern w:val="0"/>
          <w:sz w:val="32"/>
          <w:szCs w:val="32"/>
        </w:rPr>
      </w:pPr>
      <w:r>
        <w:rPr>
          <w:rFonts w:eastAsia="仿宋_GB2312"/>
          <w:kern w:val="0"/>
          <w:sz w:val="32"/>
          <w:szCs w:val="32"/>
        </w:rPr>
        <w:t xml:space="preserve"> </w:t>
      </w:r>
    </w:p>
    <w:p>
      <w:pPr>
        <w:spacing w:line="578" w:lineRule="exact"/>
        <w:jc w:val="center"/>
        <w:rPr>
          <w:rFonts w:eastAsia="黑体"/>
          <w:sz w:val="32"/>
          <w:szCs w:val="32"/>
        </w:rPr>
      </w:pPr>
      <w:r>
        <w:rPr>
          <w:rFonts w:hint="eastAsia" w:eastAsia="黑体"/>
          <w:sz w:val="32"/>
          <w:szCs w:val="32"/>
        </w:rPr>
        <w:t>第五章</w:t>
      </w:r>
      <w:r>
        <w:rPr>
          <w:rFonts w:eastAsia="黑体"/>
          <w:sz w:val="32"/>
          <w:szCs w:val="32"/>
        </w:rPr>
        <w:t xml:space="preserve"> </w:t>
      </w:r>
      <w:r>
        <w:rPr>
          <w:rFonts w:hint="eastAsia" w:eastAsia="黑体"/>
          <w:sz w:val="32"/>
          <w:szCs w:val="32"/>
        </w:rPr>
        <w:t>监督管理</w:t>
      </w:r>
    </w:p>
    <w:p>
      <w:pPr>
        <w:spacing w:line="578" w:lineRule="exact"/>
        <w:ind w:firstLine="641" w:firstLineChars="200"/>
        <w:rPr>
          <w:rFonts w:eastAsia="仿宋_GB2312"/>
          <w:kern w:val="0"/>
          <w:sz w:val="32"/>
          <w:szCs w:val="32"/>
        </w:rPr>
      </w:pPr>
      <w:r>
        <w:rPr>
          <w:rFonts w:hint="eastAsia" w:eastAsia="仿宋_GB2312"/>
          <w:b/>
          <w:bCs/>
          <w:sz w:val="32"/>
          <w:szCs w:val="32"/>
        </w:rPr>
        <w:t>第二十二条</w:t>
      </w:r>
      <w:r>
        <w:rPr>
          <w:rFonts w:eastAsia="仿宋_GB2312"/>
          <w:b/>
          <w:bCs/>
          <w:sz w:val="32"/>
          <w:szCs w:val="32"/>
        </w:rPr>
        <w:t xml:space="preserve"> </w:t>
      </w:r>
      <w:r>
        <w:rPr>
          <w:rFonts w:hint="eastAsia" w:eastAsia="仿宋_GB2312"/>
          <w:kern w:val="0"/>
          <w:sz w:val="32"/>
          <w:szCs w:val="32"/>
        </w:rPr>
        <w:t>委托经办机构应当建立运行分析、日常巡查、投诉举报、满意度调查等制度，</w:t>
      </w:r>
      <w:r>
        <w:rPr>
          <w:rFonts w:hint="eastAsia" w:eastAsia="仿宋_GB2312"/>
          <w:sz w:val="32"/>
          <w:szCs w:val="32"/>
        </w:rPr>
        <w:t>按不低于</w:t>
      </w:r>
      <w:r>
        <w:rPr>
          <w:rFonts w:eastAsia="仿宋_GB2312"/>
          <w:sz w:val="32"/>
          <w:szCs w:val="32"/>
        </w:rPr>
        <w:t>10%</w:t>
      </w:r>
      <w:r>
        <w:rPr>
          <w:rFonts w:hint="eastAsia" w:eastAsia="仿宋_GB2312"/>
          <w:sz w:val="32"/>
          <w:szCs w:val="32"/>
        </w:rPr>
        <w:t>比例对承办区</w:t>
      </w:r>
      <w:r>
        <w:rPr>
          <w:rFonts w:hint="eastAsia" w:eastAsia="仿宋_GB2312"/>
          <w:kern w:val="0"/>
          <w:sz w:val="32"/>
          <w:szCs w:val="32"/>
        </w:rPr>
        <w:t>内享受长期护理保险待遇人</w:t>
      </w:r>
      <w:r>
        <w:rPr>
          <w:rFonts w:hint="eastAsia" w:eastAsia="仿宋_GB2312"/>
          <w:sz w:val="32"/>
          <w:szCs w:val="32"/>
        </w:rPr>
        <w:t>员失能情况进行抽查。</w:t>
      </w:r>
    </w:p>
    <w:p>
      <w:pPr>
        <w:spacing w:line="578" w:lineRule="exact"/>
        <w:ind w:firstLine="641" w:firstLineChars="200"/>
        <w:rPr>
          <w:rFonts w:eastAsia="仿宋_GB2312"/>
          <w:sz w:val="32"/>
          <w:szCs w:val="32"/>
        </w:rPr>
      </w:pPr>
      <w:r>
        <w:rPr>
          <w:rFonts w:hint="eastAsia" w:eastAsia="仿宋_GB2312"/>
          <w:b/>
          <w:bCs/>
          <w:kern w:val="0"/>
          <w:sz w:val="32"/>
          <w:szCs w:val="32"/>
        </w:rPr>
        <w:t>第二十三条</w:t>
      </w:r>
      <w:r>
        <w:rPr>
          <w:rFonts w:eastAsia="仿宋_GB2312"/>
          <w:b/>
          <w:bCs/>
          <w:kern w:val="0"/>
          <w:sz w:val="32"/>
          <w:szCs w:val="32"/>
        </w:rPr>
        <w:t xml:space="preserve"> </w:t>
      </w:r>
      <w:r>
        <w:rPr>
          <w:rFonts w:hint="eastAsia" w:eastAsia="仿宋_GB2312"/>
          <w:kern w:val="0"/>
          <w:sz w:val="32"/>
          <w:szCs w:val="32"/>
        </w:rPr>
        <w:t>医保经办机构应制定失能评定机构及其人员协议考核管理办法。</w:t>
      </w:r>
      <w:r>
        <w:rPr>
          <w:rFonts w:hint="eastAsia" w:eastAsia="仿宋_GB2312"/>
          <w:sz w:val="32"/>
          <w:szCs w:val="32"/>
        </w:rPr>
        <w:t>协议期满前，委托经办机构开展对失能评定机构履行服务协议情况的考核，重点将评定时效性、抽查阳性率、举报投诉处理情况、服务标准化等纳入考核内容</w:t>
      </w:r>
      <w:r>
        <w:rPr>
          <w:rFonts w:hint="eastAsia" w:eastAsia="仿宋_GB2312"/>
          <w:kern w:val="0"/>
          <w:sz w:val="32"/>
          <w:szCs w:val="32"/>
        </w:rPr>
        <w:t>。</w:t>
      </w:r>
      <w:r>
        <w:rPr>
          <w:rFonts w:hint="eastAsia" w:eastAsia="仿宋_GB2312"/>
          <w:sz w:val="32"/>
          <w:szCs w:val="32"/>
        </w:rPr>
        <w:t>考核结果与服务质量保证金和协议续签等挂钩。考核结果向社会公示，并报医保经办机构。</w:t>
      </w:r>
    </w:p>
    <w:p>
      <w:pPr>
        <w:spacing w:line="578" w:lineRule="exact"/>
        <w:ind w:firstLine="628" w:firstLineChars="196"/>
        <w:rPr>
          <w:rFonts w:eastAsia="仿宋_GB2312"/>
          <w:sz w:val="32"/>
          <w:szCs w:val="32"/>
        </w:rPr>
      </w:pPr>
      <w:r>
        <w:rPr>
          <w:rFonts w:hint="eastAsia" w:eastAsia="仿宋_GB2312"/>
          <w:b/>
          <w:bCs/>
          <w:sz w:val="32"/>
          <w:szCs w:val="32"/>
        </w:rPr>
        <w:t>第二十四条</w:t>
      </w:r>
      <w:r>
        <w:rPr>
          <w:rFonts w:eastAsia="仿宋_GB2312"/>
          <w:sz w:val="32"/>
          <w:szCs w:val="32"/>
        </w:rPr>
        <w:t xml:space="preserve"> </w:t>
      </w:r>
      <w:r>
        <w:rPr>
          <w:rFonts w:hint="eastAsia" w:eastAsia="仿宋_GB2312"/>
          <w:sz w:val="32"/>
          <w:szCs w:val="32"/>
        </w:rPr>
        <w:t>任何组织和个人有权对失能评定中的违反协议约定、违规违法行为等进行举报投诉。</w:t>
      </w:r>
    </w:p>
    <w:p>
      <w:pPr>
        <w:spacing w:line="578" w:lineRule="exact"/>
        <w:ind w:firstLine="628" w:firstLineChars="196"/>
        <w:rPr>
          <w:rFonts w:eastAsia="仿宋_GB2312"/>
          <w:sz w:val="32"/>
          <w:szCs w:val="32"/>
        </w:rPr>
      </w:pPr>
      <w:r>
        <w:rPr>
          <w:rFonts w:hint="eastAsia" w:eastAsia="仿宋_GB2312"/>
          <w:b/>
          <w:bCs/>
          <w:sz w:val="32"/>
          <w:szCs w:val="32"/>
        </w:rPr>
        <w:t>第二十五条</w:t>
      </w:r>
      <w:r>
        <w:rPr>
          <w:rFonts w:eastAsia="仿宋_GB2312"/>
          <w:sz w:val="32"/>
          <w:szCs w:val="32"/>
        </w:rPr>
        <w:t xml:space="preserve"> </w:t>
      </w:r>
      <w:r>
        <w:rPr>
          <w:rFonts w:hint="eastAsia" w:eastAsia="仿宋_GB2312"/>
          <w:sz w:val="32"/>
          <w:szCs w:val="32"/>
        </w:rPr>
        <w:t>医保经办机构、委托经办机构、失能评定机构及其工作人员，参保人员等存在违法违规行为，属于长期护理保险服务协议规定内容的，按照协议约定进行处理；属于法律、法规和规章行政处罚规定范畴的，依法给予行政处罚；构成犯罪的，依法追究刑事责任。</w:t>
      </w:r>
    </w:p>
    <w:p>
      <w:pPr>
        <w:autoSpaceDE w:val="0"/>
        <w:autoSpaceDN w:val="0"/>
        <w:adjustRightInd w:val="0"/>
        <w:spacing w:line="578" w:lineRule="exact"/>
        <w:ind w:firstLine="640"/>
        <w:jc w:val="left"/>
        <w:rPr>
          <w:rFonts w:eastAsia="仿宋_GB2312"/>
          <w:kern w:val="0"/>
          <w:sz w:val="32"/>
          <w:szCs w:val="32"/>
        </w:rPr>
      </w:pPr>
      <w:r>
        <w:rPr>
          <w:rFonts w:eastAsia="仿宋_GB2312"/>
          <w:kern w:val="0"/>
          <w:sz w:val="32"/>
          <w:szCs w:val="32"/>
        </w:rPr>
        <w:t xml:space="preserve"> </w:t>
      </w:r>
    </w:p>
    <w:p>
      <w:pPr>
        <w:spacing w:line="578" w:lineRule="exact"/>
        <w:rPr>
          <w:rFonts w:eastAsia="黑体"/>
          <w:sz w:val="32"/>
          <w:szCs w:val="32"/>
        </w:rPr>
      </w:pPr>
      <w:r>
        <w:rPr>
          <w:rFonts w:eastAsia="黑体"/>
          <w:sz w:val="32"/>
          <w:szCs w:val="32"/>
        </w:rPr>
        <w:t xml:space="preserve">                      </w:t>
      </w:r>
      <w:r>
        <w:rPr>
          <w:rFonts w:hint="eastAsia" w:eastAsia="黑体"/>
          <w:sz w:val="32"/>
          <w:szCs w:val="32"/>
        </w:rPr>
        <w:t>第六章</w:t>
      </w:r>
      <w:r>
        <w:rPr>
          <w:rFonts w:eastAsia="黑体"/>
          <w:sz w:val="32"/>
          <w:szCs w:val="32"/>
        </w:rPr>
        <w:t xml:space="preserve"> </w:t>
      </w:r>
      <w:r>
        <w:rPr>
          <w:rFonts w:hint="eastAsia" w:eastAsia="黑体"/>
          <w:sz w:val="32"/>
          <w:szCs w:val="32"/>
        </w:rPr>
        <w:t>附</w:t>
      </w:r>
      <w:r>
        <w:rPr>
          <w:rFonts w:eastAsia="黑体"/>
          <w:sz w:val="32"/>
          <w:szCs w:val="32"/>
        </w:rPr>
        <w:t xml:space="preserve"> </w:t>
      </w:r>
      <w:r>
        <w:rPr>
          <w:rFonts w:hint="eastAsia" w:eastAsia="黑体"/>
          <w:sz w:val="32"/>
          <w:szCs w:val="32"/>
        </w:rPr>
        <w:t>则</w:t>
      </w:r>
    </w:p>
    <w:p>
      <w:pPr>
        <w:spacing w:line="578" w:lineRule="exact"/>
        <w:ind w:firstLine="641" w:firstLineChars="200"/>
        <w:rPr>
          <w:rFonts w:eastAsia="仿宋_GB2312"/>
          <w:sz w:val="32"/>
          <w:szCs w:val="32"/>
        </w:rPr>
      </w:pPr>
      <w:r>
        <w:rPr>
          <w:rFonts w:hint="eastAsia" w:eastAsia="仿宋_GB2312"/>
          <w:b/>
          <w:bCs/>
          <w:sz w:val="32"/>
          <w:szCs w:val="32"/>
        </w:rPr>
        <w:t>第二十六条</w:t>
      </w:r>
      <w:r>
        <w:rPr>
          <w:rFonts w:eastAsia="仿宋_GB2312"/>
          <w:b/>
          <w:bCs/>
          <w:sz w:val="32"/>
          <w:szCs w:val="32"/>
        </w:rPr>
        <w:t xml:space="preserve"> </w:t>
      </w:r>
      <w:r>
        <w:rPr>
          <w:rFonts w:hint="eastAsia" w:eastAsia="仿宋_GB2312"/>
          <w:sz w:val="32"/>
          <w:szCs w:val="32"/>
        </w:rPr>
        <w:t>为稳妥有序推进试点工作，试点初期，按照分批错峰原则开展失能评定</w:t>
      </w:r>
      <w:r>
        <w:rPr>
          <w:rFonts w:hint="eastAsia" w:eastAsia="仿宋_GB2312"/>
          <w:sz w:val="32"/>
          <w:szCs w:val="32"/>
          <w:lang w:eastAsia="zh-CN"/>
        </w:rPr>
        <w:t>，错峰失能评定的</w:t>
      </w:r>
      <w:r>
        <w:rPr>
          <w:rFonts w:hint="eastAsia" w:eastAsia="仿宋_GB2312"/>
          <w:sz w:val="32"/>
          <w:szCs w:val="32"/>
        </w:rPr>
        <w:t>参保人员</w:t>
      </w:r>
      <w:r>
        <w:rPr>
          <w:rFonts w:hint="eastAsia" w:eastAsia="仿宋_GB2312"/>
          <w:sz w:val="32"/>
          <w:szCs w:val="32"/>
          <w:lang w:eastAsia="zh-CN"/>
        </w:rPr>
        <w:t>统一</w:t>
      </w:r>
      <w:r>
        <w:rPr>
          <w:rFonts w:hint="eastAsia" w:eastAsia="仿宋_GB2312"/>
          <w:sz w:val="32"/>
          <w:szCs w:val="32"/>
        </w:rPr>
        <w:t>自</w:t>
      </w:r>
      <w:r>
        <w:rPr>
          <w:rFonts w:eastAsia="仿宋_GB2312"/>
          <w:sz w:val="32"/>
          <w:szCs w:val="32"/>
        </w:rPr>
        <w:t>2021</w:t>
      </w:r>
      <w:r>
        <w:rPr>
          <w:rFonts w:hint="eastAsia" w:eastAsia="仿宋_GB2312"/>
          <w:sz w:val="32"/>
          <w:szCs w:val="32"/>
        </w:rPr>
        <w:t>年</w:t>
      </w:r>
      <w:r>
        <w:rPr>
          <w:rFonts w:eastAsia="仿宋_GB2312"/>
          <w:sz w:val="32"/>
          <w:szCs w:val="32"/>
        </w:rPr>
        <w:t>6</w:t>
      </w:r>
      <w:r>
        <w:rPr>
          <w:rFonts w:hint="eastAsia" w:eastAsia="仿宋_GB2312"/>
          <w:sz w:val="32"/>
          <w:szCs w:val="32"/>
        </w:rPr>
        <w:t>月</w:t>
      </w:r>
      <w:r>
        <w:rPr>
          <w:rFonts w:eastAsia="仿宋_GB2312"/>
          <w:sz w:val="32"/>
          <w:szCs w:val="32"/>
        </w:rPr>
        <w:t>1</w:t>
      </w:r>
      <w:r>
        <w:rPr>
          <w:rFonts w:hint="eastAsia" w:eastAsia="仿宋_GB2312"/>
          <w:sz w:val="32"/>
          <w:szCs w:val="32"/>
        </w:rPr>
        <w:t>日起按规定发生的相关护理费用纳入长期护理保险基金支付。分批错峰失能评定申请工作，由区医疗保障行政部门会同辖区医保经办机构组织实施，具体工作方案另行制定。</w:t>
      </w:r>
    </w:p>
    <w:p>
      <w:pPr>
        <w:spacing w:line="578" w:lineRule="exact"/>
        <w:ind w:firstLine="641" w:firstLineChars="200"/>
        <w:rPr>
          <w:rFonts w:eastAsia="仿宋_GB2312"/>
          <w:sz w:val="32"/>
          <w:szCs w:val="32"/>
        </w:rPr>
      </w:pPr>
      <w:r>
        <w:rPr>
          <w:rFonts w:hint="eastAsia" w:eastAsia="仿宋_GB2312"/>
          <w:b/>
          <w:bCs/>
          <w:sz w:val="32"/>
          <w:szCs w:val="32"/>
        </w:rPr>
        <w:t>第二十七条</w:t>
      </w:r>
      <w:r>
        <w:rPr>
          <w:rFonts w:eastAsia="仿宋_GB2312"/>
          <w:b/>
          <w:bCs/>
          <w:sz w:val="32"/>
          <w:szCs w:val="32"/>
        </w:rPr>
        <w:t xml:space="preserve"> </w:t>
      </w:r>
      <w:r>
        <w:rPr>
          <w:rFonts w:hint="eastAsia" w:eastAsia="仿宋_GB2312"/>
          <w:sz w:val="32"/>
          <w:szCs w:val="32"/>
        </w:rPr>
        <w:t>本办法由市医疗保障行政部门负责解释。</w:t>
      </w:r>
    </w:p>
    <w:p>
      <w:pPr>
        <w:autoSpaceDE w:val="0"/>
        <w:autoSpaceDN w:val="0"/>
        <w:adjustRightInd w:val="0"/>
        <w:spacing w:line="578" w:lineRule="exact"/>
        <w:ind w:firstLine="641" w:firstLineChars="200"/>
        <w:jc w:val="left"/>
        <w:rPr>
          <w:rFonts w:eastAsia="仿宋_GB2312"/>
          <w:sz w:val="32"/>
          <w:szCs w:val="32"/>
        </w:rPr>
      </w:pPr>
      <w:r>
        <w:rPr>
          <w:rFonts w:hint="eastAsia" w:eastAsia="仿宋_GB2312"/>
          <w:b/>
          <w:bCs/>
          <w:sz w:val="32"/>
          <w:szCs w:val="32"/>
        </w:rPr>
        <w:t>第二十八条</w:t>
      </w:r>
      <w:r>
        <w:rPr>
          <w:rFonts w:eastAsia="仿宋_GB2312"/>
          <w:sz w:val="32"/>
          <w:szCs w:val="32"/>
        </w:rPr>
        <w:t xml:space="preserve"> </w:t>
      </w:r>
      <w:r>
        <w:rPr>
          <w:rFonts w:hint="eastAsia" w:eastAsia="仿宋_GB2312"/>
          <w:sz w:val="32"/>
          <w:szCs w:val="32"/>
        </w:rPr>
        <w:t>本办法自印发之日起施行，有效期</w:t>
      </w:r>
      <w:r>
        <w:rPr>
          <w:rFonts w:eastAsia="仿宋_GB2312"/>
          <w:sz w:val="32"/>
          <w:szCs w:val="32"/>
        </w:rPr>
        <w:t>2</w:t>
      </w:r>
      <w:r>
        <w:rPr>
          <w:rFonts w:hint="eastAsia" w:eastAsia="仿宋_GB2312"/>
          <w:sz w:val="32"/>
          <w:szCs w:val="32"/>
        </w:rPr>
        <w:t>年。</w:t>
      </w:r>
    </w:p>
    <w:p>
      <w:pPr>
        <w:autoSpaceDE w:val="0"/>
        <w:autoSpaceDN w:val="0"/>
        <w:adjustRightInd w:val="0"/>
        <w:spacing w:line="578" w:lineRule="exact"/>
        <w:jc w:val="left"/>
        <w:rPr>
          <w:rFonts w:eastAsia="黑体"/>
          <w:sz w:val="32"/>
          <w:szCs w:val="32"/>
        </w:rPr>
      </w:pPr>
      <w:r>
        <w:rPr>
          <w:rFonts w:eastAsia="仿宋_GB2312"/>
          <w:sz w:val="32"/>
          <w:szCs w:val="32"/>
        </w:rPr>
        <w:br w:type="page"/>
      </w:r>
      <w:r>
        <w:rPr>
          <w:rFonts w:hint="eastAsia" w:eastAsia="黑体"/>
          <w:sz w:val="32"/>
          <w:szCs w:val="32"/>
        </w:rPr>
        <w:t>附件</w:t>
      </w:r>
      <w:r>
        <w:rPr>
          <w:rFonts w:eastAsia="黑体"/>
          <w:sz w:val="32"/>
          <w:szCs w:val="32"/>
        </w:rPr>
        <w:t>1</w:t>
      </w:r>
    </w:p>
    <w:p>
      <w:pPr>
        <w:autoSpaceDE w:val="0"/>
        <w:autoSpaceDN w:val="0"/>
        <w:adjustRightInd w:val="0"/>
        <w:spacing w:line="578" w:lineRule="exact"/>
        <w:jc w:val="left"/>
        <w:rPr>
          <w:rFonts w:eastAsia="仿宋_GB2312"/>
          <w:kern w:val="0"/>
          <w:sz w:val="32"/>
          <w:szCs w:val="32"/>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rPr>
          <w:rFonts w:eastAsia="黑体"/>
          <w:sz w:val="32"/>
          <w:szCs w:val="32"/>
        </w:rPr>
      </w:pPr>
      <w:r>
        <w:rPr>
          <w:rFonts w:hint="eastAsia" w:eastAsia="黑体"/>
          <w:sz w:val="32"/>
          <w:szCs w:val="32"/>
        </w:rPr>
        <w:t>附件</w:t>
      </w:r>
      <w:r>
        <w:rPr>
          <w:rFonts w:eastAsia="黑体"/>
          <w:sz w:val="32"/>
          <w:szCs w:val="32"/>
        </w:rPr>
        <w:t>2</w:t>
      </w:r>
    </w:p>
    <w:p>
      <w:pPr>
        <w:spacing w:line="578" w:lineRule="exact"/>
        <w:rPr>
          <w:rFonts w:hint="eastAsia" w:eastAsia="黑体"/>
          <w:sz w:val="32"/>
          <w:szCs w:val="32"/>
        </w:rPr>
      </w:pPr>
      <w:r>
        <w:rPr>
          <w:rFonts w:eastAsia="黑体"/>
          <w:sz w:val="32"/>
          <w:szCs w:val="32"/>
        </w:rPr>
        <w:br w:type="page"/>
      </w:r>
    </w:p>
    <w:p>
      <w:pPr>
        <w:spacing w:line="578" w:lineRule="exact"/>
        <w:rPr>
          <w:rFonts w:hint="eastAsia" w:eastAsia="黑体"/>
          <w:sz w:val="32"/>
          <w:szCs w:val="32"/>
        </w:rPr>
      </w:pP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（此页无正文）</w:t>
      </w: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eastAsia="仿宋_GB2312"/>
          <w:sz w:val="10"/>
          <w:szCs w:val="10"/>
        </w:rPr>
      </w:pPr>
    </w:p>
    <w:p>
      <w:pPr>
        <w:spacing w:line="578" w:lineRule="exact"/>
        <w:ind w:firstLine="550" w:firstLineChars="550"/>
        <w:rPr>
          <w:rFonts w:hint="eastAsia" w:eastAsia="仿宋_GB2312"/>
          <w:sz w:val="10"/>
          <w:szCs w:val="10"/>
        </w:rPr>
      </w:pPr>
    </w:p>
    <w:p>
      <w:pPr>
        <w:spacing w:line="578" w:lineRule="exact"/>
        <w:ind w:firstLine="550" w:firstLineChars="550"/>
        <w:rPr>
          <w:rFonts w:hint="eastAsia" w:eastAsia="仿宋_GB2312"/>
          <w:sz w:val="10"/>
          <w:szCs w:val="10"/>
        </w:rPr>
      </w:pPr>
      <w:bookmarkStart w:id="0" w:name="_GoBack"/>
      <w:bookmarkEnd w:id="0"/>
    </w:p>
    <w:p>
      <w:pPr>
        <w:spacing w:line="578" w:lineRule="exact"/>
        <w:ind w:firstLine="550" w:firstLineChars="550"/>
        <w:rPr>
          <w:rFonts w:eastAsia="仿宋_GB2312"/>
          <w:sz w:val="10"/>
          <w:szCs w:val="10"/>
        </w:rPr>
      </w:pPr>
    </w:p>
    <w:p>
      <w:pPr>
        <w:spacing w:line="480" w:lineRule="exact"/>
        <w:ind w:left="210" w:leftChars="100" w:right="210" w:rightChars="100"/>
        <w:rPr>
          <w:rFonts w:eastAsia="仿宋_GB2312"/>
          <w:sz w:val="28"/>
          <w:szCs w:val="28"/>
        </w:rPr>
      </w:pPr>
      <w:r>
        <w:pict>
          <v:line id="_x0000_s1030" o:spid="_x0000_s1030" o:spt="20" style="position:absolute;left:0pt;margin-left:-0.05pt;margin-top:0pt;height:0pt;width:441.05pt;z-index:1024;mso-width-relative:page;mso-height-relative:page;" coordsize="21600,21600">
            <v:path arrowok="t"/>
            <v:fill focussize="0,0"/>
            <v:stroke weight="1.5pt"/>
            <v:imagedata o:title=""/>
            <o:lock v:ext="edit"/>
          </v:line>
        </w:pict>
      </w:r>
      <w:r>
        <w:pict>
          <v:line id="_x0000_s1031" o:spid="_x0000_s1031" o:spt="20" style="position:absolute;left:0pt;margin-left:0pt;margin-top:30.5pt;height:0pt;width:441.05pt;z-index:1024;mso-width-relative:page;mso-height-relative:page;" coordsize="21600,21600">
            <v:path arrowok="t"/>
            <v:fill focussize="0,0"/>
            <v:stroke weight="1.5pt"/>
            <v:imagedata o:title=""/>
            <o:lock v:ext="edit"/>
          </v:line>
        </w:pict>
      </w:r>
      <w:r>
        <w:pict>
          <v:line id="_x0000_s1032" o:spid="_x0000_s1032" o:spt="20" style="position:absolute;left:0pt;margin-left:0pt;margin-top:0pt;height:0pt;width:441.05pt;z-index:1024;mso-width-relative:page;mso-height-relative:page;" coordsize="21600,21600" o:allowincell="f">
            <v:path arrowok="t"/>
            <v:fill focussize="0,0"/>
            <v:stroke/>
            <v:imagedata o:title=""/>
            <o:lock v:ext="edit"/>
          </v:line>
        </w:pict>
      </w:r>
      <w:r>
        <w:rPr>
          <w:rFonts w:hint="eastAsia" w:eastAsia="仿宋_GB2312"/>
          <w:sz w:val="28"/>
          <w:szCs w:val="28"/>
        </w:rPr>
        <w:t>天津市医疗保障局办公室</w:t>
      </w:r>
      <w:r>
        <w:rPr>
          <w:rFonts w:eastAsia="仿宋_GB2312"/>
          <w:sz w:val="28"/>
          <w:szCs w:val="28"/>
        </w:rPr>
        <w:t xml:space="preserve">                2021</w:t>
      </w:r>
      <w:r>
        <w:rPr>
          <w:rFonts w:hint="eastAsia" w:eastAsia="仿宋_GB2312"/>
          <w:sz w:val="28"/>
          <w:szCs w:val="28"/>
        </w:rPr>
        <w:t>年</w:t>
      </w:r>
      <w:r>
        <w:rPr>
          <w:rFonts w:eastAsia="仿宋_GB2312"/>
          <w:sz w:val="28"/>
          <w:szCs w:val="28"/>
        </w:rPr>
        <w:t>1</w:t>
      </w:r>
      <w:r>
        <w:rPr>
          <w:rFonts w:hint="eastAsia" w:eastAsia="仿宋_GB2312"/>
          <w:sz w:val="28"/>
          <w:szCs w:val="28"/>
        </w:rPr>
        <w:t>月</w:t>
      </w:r>
      <w:r>
        <w:rPr>
          <w:rFonts w:hint="eastAsia" w:eastAsia="仿宋_GB2312"/>
          <w:sz w:val="28"/>
          <w:szCs w:val="28"/>
          <w:lang w:val="en-US" w:eastAsia="zh-CN"/>
        </w:rPr>
        <w:t>25</w:t>
      </w:r>
      <w:r>
        <w:rPr>
          <w:rFonts w:hint="eastAsia" w:eastAsia="仿宋_GB2312"/>
          <w:sz w:val="28"/>
          <w:szCs w:val="28"/>
        </w:rPr>
        <w:t>日印发</w:t>
      </w:r>
    </w:p>
    <w:sectPr>
      <w:footerReference r:id="rId3" w:type="default"/>
      <w:footerReference r:id="rId4" w:type="even"/>
      <w:type w:val="continuous"/>
      <w:pgSz w:w="11906" w:h="16838"/>
      <w:pgMar w:top="2098" w:right="1474" w:bottom="1714"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Verdana">
    <w:panose1 w:val="020B0604030504040204"/>
    <w:charset w:val="00"/>
    <w:family w:val="roman"/>
    <w:pitch w:val="default"/>
    <w:sig w:usb0="A10006FF" w:usb1="4000205B" w:usb2="00000010" w:usb3="00000000" w:csb0="2000019F" w:csb1="00000000"/>
  </w:font>
  <w:font w:name="文星简小标宋">
    <w:altName w:val="Arial Unicode MS"/>
    <w:panose1 w:val="00000000000000000000"/>
    <w:charset w:val="86"/>
    <w:family w:val="decorative"/>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Verdana">
    <w:panose1 w:val="020B0604030504040204"/>
    <w:charset w:val="00"/>
    <w:family w:val="modern"/>
    <w:pitch w:val="default"/>
    <w:sig w:usb0="A10006FF" w:usb1="4000205B" w:usb2="00000010" w:usb3="00000000" w:csb0="2000019F" w:csb1="00000000"/>
  </w:font>
  <w:font w:name="文星简小标宋">
    <w:altName w:val="Arial Unicode MS"/>
    <w:panose1 w:val="00000000000000000000"/>
    <w:charset w:val="86"/>
    <w:family w:val="roman"/>
    <w:pitch w:val="default"/>
    <w:sig w:usb0="00000000" w:usb1="00000000" w:usb2="0000001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文星简小标宋">
    <w:altName w:val="Arial Unicode MS"/>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wordWrap w:val="0"/>
      <w:jc w:val="right"/>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3 -</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ind w:firstLine="280" w:firstLineChars="10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540652">
    <w:nsid w:val="600E28AC"/>
    <w:multiLevelType w:val="multilevel"/>
    <w:tmpl w:val="600E28AC"/>
    <w:lvl w:ilvl="0" w:tentative="1">
      <w:start w:val="1"/>
      <w:numFmt w:val="japaneseCounting"/>
      <w:lvlText w:val="第%1章"/>
      <w:lvlJc w:val="left"/>
      <w:pPr>
        <w:ind w:left="1080" w:hanging="1080"/>
      </w:pPr>
      <w:rPr>
        <w:rFonts w:hint="default" w:ascii="Times New Roman" w:hAnsi="Times New Roman" w:cs="Times New Roman"/>
      </w:rPr>
    </w:lvl>
    <w:lvl w:ilvl="1" w:tentative="1">
      <w:start w:val="1"/>
      <w:numFmt w:val="lowerLetter"/>
      <w:lvlText w:val="%2)"/>
      <w:lvlJc w:val="left"/>
      <w:pPr>
        <w:ind w:left="840" w:hanging="420"/>
      </w:pPr>
      <w:rPr>
        <w:rFonts w:hint="default" w:ascii="Times New Roman" w:hAnsi="Times New Roman" w:cs="Times New Roman"/>
      </w:rPr>
    </w:lvl>
    <w:lvl w:ilvl="2" w:tentative="1">
      <w:start w:val="1"/>
      <w:numFmt w:val="lowerRoman"/>
      <w:lvlText w:val="%3."/>
      <w:lvlJc w:val="right"/>
      <w:pPr>
        <w:ind w:left="1260" w:hanging="420"/>
      </w:pPr>
      <w:rPr>
        <w:rFonts w:hint="default" w:ascii="Times New Roman" w:hAnsi="Times New Roman" w:cs="Times New Roman"/>
      </w:rPr>
    </w:lvl>
    <w:lvl w:ilvl="3" w:tentative="1">
      <w:start w:val="1"/>
      <w:numFmt w:val="decimal"/>
      <w:lvlText w:val="%4."/>
      <w:lvlJc w:val="left"/>
      <w:pPr>
        <w:ind w:left="1680" w:hanging="420"/>
      </w:pPr>
      <w:rPr>
        <w:rFonts w:hint="default" w:ascii="Times New Roman" w:hAnsi="Times New Roman" w:cs="Times New Roman"/>
      </w:rPr>
    </w:lvl>
    <w:lvl w:ilvl="4" w:tentative="1">
      <w:start w:val="1"/>
      <w:numFmt w:val="lowerLetter"/>
      <w:lvlText w:val="%5)"/>
      <w:lvlJc w:val="left"/>
      <w:pPr>
        <w:ind w:left="2100" w:hanging="420"/>
      </w:pPr>
      <w:rPr>
        <w:rFonts w:hint="default" w:ascii="Times New Roman" w:hAnsi="Times New Roman" w:cs="Times New Roman"/>
      </w:rPr>
    </w:lvl>
    <w:lvl w:ilvl="5" w:tentative="1">
      <w:start w:val="1"/>
      <w:numFmt w:val="lowerRoman"/>
      <w:lvlText w:val="%6."/>
      <w:lvlJc w:val="right"/>
      <w:pPr>
        <w:ind w:left="2520" w:hanging="420"/>
      </w:pPr>
      <w:rPr>
        <w:rFonts w:hint="default" w:ascii="Times New Roman" w:hAnsi="Times New Roman" w:cs="Times New Roman"/>
      </w:rPr>
    </w:lvl>
    <w:lvl w:ilvl="6" w:tentative="1">
      <w:start w:val="1"/>
      <w:numFmt w:val="decimal"/>
      <w:lvlText w:val="%7."/>
      <w:lvlJc w:val="left"/>
      <w:pPr>
        <w:ind w:left="2940" w:hanging="420"/>
      </w:pPr>
      <w:rPr>
        <w:rFonts w:hint="default" w:ascii="Times New Roman" w:hAnsi="Times New Roman" w:cs="Times New Roman"/>
      </w:rPr>
    </w:lvl>
    <w:lvl w:ilvl="7" w:tentative="1">
      <w:start w:val="1"/>
      <w:numFmt w:val="lowerLetter"/>
      <w:lvlText w:val="%8)"/>
      <w:lvlJc w:val="left"/>
      <w:pPr>
        <w:ind w:left="3360" w:hanging="420"/>
      </w:pPr>
      <w:rPr>
        <w:rFonts w:hint="default" w:ascii="Times New Roman" w:hAnsi="Times New Roman" w:cs="Times New Roman"/>
      </w:rPr>
    </w:lvl>
    <w:lvl w:ilvl="8" w:tentative="1">
      <w:start w:val="1"/>
      <w:numFmt w:val="lowerRoman"/>
      <w:lvlText w:val="%9."/>
      <w:lvlJc w:val="right"/>
      <w:pPr>
        <w:ind w:left="3780" w:hanging="420"/>
      </w:pPr>
      <w:rPr>
        <w:rFonts w:hint="default" w:ascii="Times New Roman" w:hAnsi="Times New Roman" w:cs="Times New Roman"/>
      </w:rPr>
    </w:lvl>
  </w:abstractNum>
  <w:abstractNum w:abstractNumId="1611540663">
    <w:nsid w:val="600E28B7"/>
    <w:multiLevelType w:val="multilevel"/>
    <w:tmpl w:val="600E28B7"/>
    <w:lvl w:ilvl="0" w:tentative="1">
      <w:start w:val="4"/>
      <w:numFmt w:val="chineseCounting"/>
      <w:suff w:val="nothing"/>
      <w:lvlText w:val="（%1）"/>
      <w:lvlJc w:val="left"/>
      <w:rPr>
        <w:rFonts w:hint="default" w:ascii="Times New Roman" w:hAnsi="Times New Roman" w:cs="Times New Roman"/>
      </w:rPr>
    </w:lvl>
    <w:lvl w:ilvl="1" w:tentative="1">
      <w:start w:val="1"/>
      <w:numFmt w:val="decimal"/>
      <w:lvlText w:val="%2."/>
      <w:lvlJc w:val="left"/>
      <w:pPr>
        <w:tabs>
          <w:tab w:val="left" w:pos="1440"/>
        </w:tabs>
        <w:ind w:left="1440" w:hanging="360"/>
      </w:pPr>
      <w:rPr>
        <w:rFonts w:hint="default" w:ascii="Times New Roman" w:hAnsi="Times New Roman" w:cs="Times New Roman"/>
      </w:rPr>
    </w:lvl>
    <w:lvl w:ilvl="2" w:tentative="1">
      <w:start w:val="1"/>
      <w:numFmt w:val="decimal"/>
      <w:lvlText w:val="%3."/>
      <w:lvlJc w:val="left"/>
      <w:pPr>
        <w:tabs>
          <w:tab w:val="left" w:pos="2160"/>
        </w:tabs>
        <w:ind w:left="2160" w:hanging="360"/>
      </w:pPr>
      <w:rPr>
        <w:rFonts w:hint="default" w:ascii="Times New Roman" w:hAnsi="Times New Roman" w:cs="Times New Roman"/>
      </w:rPr>
    </w:lvl>
    <w:lvl w:ilvl="3" w:tentative="1">
      <w:start w:val="1"/>
      <w:numFmt w:val="decimal"/>
      <w:lvlText w:val="%4."/>
      <w:lvlJc w:val="left"/>
      <w:pPr>
        <w:tabs>
          <w:tab w:val="left" w:pos="2880"/>
        </w:tabs>
        <w:ind w:left="2880" w:hanging="360"/>
      </w:pPr>
      <w:rPr>
        <w:rFonts w:hint="default" w:ascii="Times New Roman" w:hAnsi="Times New Roman" w:cs="Times New Roman"/>
      </w:rPr>
    </w:lvl>
    <w:lvl w:ilvl="4" w:tentative="1">
      <w:start w:val="1"/>
      <w:numFmt w:val="decimal"/>
      <w:lvlText w:val="%5."/>
      <w:lvlJc w:val="left"/>
      <w:pPr>
        <w:tabs>
          <w:tab w:val="left" w:pos="3600"/>
        </w:tabs>
        <w:ind w:left="3600" w:hanging="360"/>
      </w:pPr>
      <w:rPr>
        <w:rFonts w:hint="default" w:ascii="Times New Roman" w:hAnsi="Times New Roman" w:cs="Times New Roman"/>
      </w:rPr>
    </w:lvl>
    <w:lvl w:ilvl="5" w:tentative="1">
      <w:start w:val="1"/>
      <w:numFmt w:val="decimal"/>
      <w:lvlText w:val="%6."/>
      <w:lvlJc w:val="left"/>
      <w:pPr>
        <w:tabs>
          <w:tab w:val="left" w:pos="4320"/>
        </w:tabs>
        <w:ind w:left="4320" w:hanging="360"/>
      </w:pPr>
      <w:rPr>
        <w:rFonts w:hint="default" w:ascii="Times New Roman" w:hAnsi="Times New Roman" w:cs="Times New Roman"/>
      </w:rPr>
    </w:lvl>
    <w:lvl w:ilvl="6" w:tentative="1">
      <w:start w:val="1"/>
      <w:numFmt w:val="decimal"/>
      <w:lvlText w:val="%7."/>
      <w:lvlJc w:val="left"/>
      <w:pPr>
        <w:tabs>
          <w:tab w:val="left" w:pos="5040"/>
        </w:tabs>
        <w:ind w:left="5040" w:hanging="360"/>
      </w:pPr>
      <w:rPr>
        <w:rFonts w:hint="default" w:ascii="Times New Roman" w:hAnsi="Times New Roman" w:cs="Times New Roman"/>
      </w:rPr>
    </w:lvl>
    <w:lvl w:ilvl="7" w:tentative="1">
      <w:start w:val="1"/>
      <w:numFmt w:val="decimal"/>
      <w:lvlText w:val="%8."/>
      <w:lvlJc w:val="left"/>
      <w:pPr>
        <w:tabs>
          <w:tab w:val="left" w:pos="5760"/>
        </w:tabs>
        <w:ind w:left="5760" w:hanging="360"/>
      </w:pPr>
      <w:rPr>
        <w:rFonts w:hint="default" w:ascii="Times New Roman" w:hAnsi="Times New Roman" w:cs="Times New Roman"/>
      </w:rPr>
    </w:lvl>
    <w:lvl w:ilvl="8" w:tentative="1">
      <w:start w:val="1"/>
      <w:numFmt w:val="decimal"/>
      <w:lvlText w:val="%9."/>
      <w:lvlJc w:val="left"/>
      <w:pPr>
        <w:tabs>
          <w:tab w:val="left" w:pos="6480"/>
        </w:tabs>
        <w:ind w:left="6480" w:hanging="360"/>
      </w:pPr>
      <w:rPr>
        <w:rFonts w:hint="default" w:ascii="Times New Roman" w:hAnsi="Times New Roman" w:cs="Times New Roman"/>
      </w:rPr>
    </w:lvl>
  </w:abstractNum>
  <w:abstractNum w:abstractNumId="1611540674">
    <w:nsid w:val="600E28C2"/>
    <w:multiLevelType w:val="multilevel"/>
    <w:tmpl w:val="600E28C2"/>
    <w:lvl w:ilvl="0" w:tentative="1">
      <w:start w:val="14"/>
      <w:numFmt w:val="chineseCounting"/>
      <w:suff w:val="space"/>
      <w:lvlText w:val="第%1条"/>
      <w:lvlJc w:val="left"/>
      <w:rPr>
        <w:rFonts w:hint="default" w:ascii="Times New Roman" w:hAnsi="Times New Roman" w:cs="Times New Roman"/>
      </w:rPr>
    </w:lvl>
    <w:lvl w:ilvl="1" w:tentative="1">
      <w:start w:val="1"/>
      <w:numFmt w:val="decimal"/>
      <w:lvlText w:val="%2."/>
      <w:lvlJc w:val="left"/>
      <w:pPr>
        <w:tabs>
          <w:tab w:val="left" w:pos="1440"/>
        </w:tabs>
        <w:ind w:left="1440" w:hanging="360"/>
      </w:pPr>
      <w:rPr>
        <w:rFonts w:hint="default" w:ascii="Times New Roman" w:hAnsi="Times New Roman" w:cs="Times New Roman"/>
      </w:rPr>
    </w:lvl>
    <w:lvl w:ilvl="2" w:tentative="1">
      <w:start w:val="1"/>
      <w:numFmt w:val="decimal"/>
      <w:lvlText w:val="%3."/>
      <w:lvlJc w:val="left"/>
      <w:pPr>
        <w:tabs>
          <w:tab w:val="left" w:pos="2160"/>
        </w:tabs>
        <w:ind w:left="2160" w:hanging="360"/>
      </w:pPr>
      <w:rPr>
        <w:rFonts w:hint="default" w:ascii="Times New Roman" w:hAnsi="Times New Roman" w:cs="Times New Roman"/>
      </w:rPr>
    </w:lvl>
    <w:lvl w:ilvl="3" w:tentative="1">
      <w:start w:val="1"/>
      <w:numFmt w:val="decimal"/>
      <w:lvlText w:val="%4."/>
      <w:lvlJc w:val="left"/>
      <w:pPr>
        <w:tabs>
          <w:tab w:val="left" w:pos="2880"/>
        </w:tabs>
        <w:ind w:left="2880" w:hanging="360"/>
      </w:pPr>
      <w:rPr>
        <w:rFonts w:hint="default" w:ascii="Times New Roman" w:hAnsi="Times New Roman" w:cs="Times New Roman"/>
      </w:rPr>
    </w:lvl>
    <w:lvl w:ilvl="4" w:tentative="1">
      <w:start w:val="1"/>
      <w:numFmt w:val="decimal"/>
      <w:lvlText w:val="%5."/>
      <w:lvlJc w:val="left"/>
      <w:pPr>
        <w:tabs>
          <w:tab w:val="left" w:pos="3600"/>
        </w:tabs>
        <w:ind w:left="3600" w:hanging="360"/>
      </w:pPr>
      <w:rPr>
        <w:rFonts w:hint="default" w:ascii="Times New Roman" w:hAnsi="Times New Roman" w:cs="Times New Roman"/>
      </w:rPr>
    </w:lvl>
    <w:lvl w:ilvl="5" w:tentative="1">
      <w:start w:val="1"/>
      <w:numFmt w:val="decimal"/>
      <w:lvlText w:val="%6."/>
      <w:lvlJc w:val="left"/>
      <w:pPr>
        <w:tabs>
          <w:tab w:val="left" w:pos="4320"/>
        </w:tabs>
        <w:ind w:left="4320" w:hanging="360"/>
      </w:pPr>
      <w:rPr>
        <w:rFonts w:hint="default" w:ascii="Times New Roman" w:hAnsi="Times New Roman" w:cs="Times New Roman"/>
      </w:rPr>
    </w:lvl>
    <w:lvl w:ilvl="6" w:tentative="1">
      <w:start w:val="1"/>
      <w:numFmt w:val="decimal"/>
      <w:lvlText w:val="%7."/>
      <w:lvlJc w:val="left"/>
      <w:pPr>
        <w:tabs>
          <w:tab w:val="left" w:pos="5040"/>
        </w:tabs>
        <w:ind w:left="5040" w:hanging="360"/>
      </w:pPr>
      <w:rPr>
        <w:rFonts w:hint="default" w:ascii="Times New Roman" w:hAnsi="Times New Roman" w:cs="Times New Roman"/>
      </w:rPr>
    </w:lvl>
    <w:lvl w:ilvl="7" w:tentative="1">
      <w:start w:val="1"/>
      <w:numFmt w:val="decimal"/>
      <w:lvlText w:val="%8."/>
      <w:lvlJc w:val="left"/>
      <w:pPr>
        <w:tabs>
          <w:tab w:val="left" w:pos="5760"/>
        </w:tabs>
        <w:ind w:left="5760" w:hanging="360"/>
      </w:pPr>
      <w:rPr>
        <w:rFonts w:hint="default" w:ascii="Times New Roman" w:hAnsi="Times New Roman" w:cs="Times New Roman"/>
      </w:rPr>
    </w:lvl>
    <w:lvl w:ilvl="8" w:tentative="1">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611540652"/>
    <w:lvlOverride w:ilvl="0">
      <w:startOverride w:val="1"/>
    </w:lvlOverride>
  </w:num>
  <w:num w:numId="2">
    <w:abstractNumId w:val="1611540663"/>
    <w:lvlOverride w:ilvl="0">
      <w:startOverride w:val="4"/>
    </w:lvlOverride>
  </w:num>
  <w:num w:numId="3">
    <w:abstractNumId w:val="1611540674"/>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DC"/>
    <w:rsid w:val="000065D5"/>
    <w:rsid w:val="000109FD"/>
    <w:rsid w:val="00013EC0"/>
    <w:rsid w:val="000147B3"/>
    <w:rsid w:val="00020120"/>
    <w:rsid w:val="00022EF9"/>
    <w:rsid w:val="0003315A"/>
    <w:rsid w:val="00033407"/>
    <w:rsid w:val="00037BE7"/>
    <w:rsid w:val="00037DE4"/>
    <w:rsid w:val="00044741"/>
    <w:rsid w:val="000541E6"/>
    <w:rsid w:val="00055249"/>
    <w:rsid w:val="00061396"/>
    <w:rsid w:val="00065E5F"/>
    <w:rsid w:val="00081292"/>
    <w:rsid w:val="000827C6"/>
    <w:rsid w:val="000949A3"/>
    <w:rsid w:val="00095A94"/>
    <w:rsid w:val="00096F5D"/>
    <w:rsid w:val="000972C7"/>
    <w:rsid w:val="000A1DA6"/>
    <w:rsid w:val="000A3C6F"/>
    <w:rsid w:val="000A44BF"/>
    <w:rsid w:val="000A767D"/>
    <w:rsid w:val="000B592A"/>
    <w:rsid w:val="000C1461"/>
    <w:rsid w:val="000C7EE4"/>
    <w:rsid w:val="000D57CF"/>
    <w:rsid w:val="000E0244"/>
    <w:rsid w:val="000E074B"/>
    <w:rsid w:val="000F198E"/>
    <w:rsid w:val="000F65DD"/>
    <w:rsid w:val="00100397"/>
    <w:rsid w:val="00105D60"/>
    <w:rsid w:val="001077DB"/>
    <w:rsid w:val="00112D7F"/>
    <w:rsid w:val="00112E8B"/>
    <w:rsid w:val="00120125"/>
    <w:rsid w:val="0012031D"/>
    <w:rsid w:val="00130551"/>
    <w:rsid w:val="00147DA7"/>
    <w:rsid w:val="00151992"/>
    <w:rsid w:val="001534C5"/>
    <w:rsid w:val="00154487"/>
    <w:rsid w:val="00155EBD"/>
    <w:rsid w:val="00161D9D"/>
    <w:rsid w:val="00162B87"/>
    <w:rsid w:val="00163B67"/>
    <w:rsid w:val="00173403"/>
    <w:rsid w:val="00176F71"/>
    <w:rsid w:val="001775A3"/>
    <w:rsid w:val="001948DE"/>
    <w:rsid w:val="001A5DF5"/>
    <w:rsid w:val="001B2FA2"/>
    <w:rsid w:val="001B694C"/>
    <w:rsid w:val="001C2624"/>
    <w:rsid w:val="001C2902"/>
    <w:rsid w:val="001C37C9"/>
    <w:rsid w:val="001C792E"/>
    <w:rsid w:val="001E29A2"/>
    <w:rsid w:val="001E58CF"/>
    <w:rsid w:val="001E7C6A"/>
    <w:rsid w:val="001F1A53"/>
    <w:rsid w:val="001F422C"/>
    <w:rsid w:val="001F4881"/>
    <w:rsid w:val="0020464D"/>
    <w:rsid w:val="00206CDE"/>
    <w:rsid w:val="0020717F"/>
    <w:rsid w:val="0021088A"/>
    <w:rsid w:val="00215B50"/>
    <w:rsid w:val="00216817"/>
    <w:rsid w:val="00217134"/>
    <w:rsid w:val="00222E8A"/>
    <w:rsid w:val="00230A9E"/>
    <w:rsid w:val="00232B8F"/>
    <w:rsid w:val="00232E4B"/>
    <w:rsid w:val="00233E93"/>
    <w:rsid w:val="002426DD"/>
    <w:rsid w:val="00244736"/>
    <w:rsid w:val="0025126B"/>
    <w:rsid w:val="00253B18"/>
    <w:rsid w:val="002542A3"/>
    <w:rsid w:val="00254310"/>
    <w:rsid w:val="002544B7"/>
    <w:rsid w:val="00254B4C"/>
    <w:rsid w:val="00255C1F"/>
    <w:rsid w:val="00267648"/>
    <w:rsid w:val="00280213"/>
    <w:rsid w:val="00281BAA"/>
    <w:rsid w:val="00282B6D"/>
    <w:rsid w:val="00292835"/>
    <w:rsid w:val="002977A8"/>
    <w:rsid w:val="002B1D79"/>
    <w:rsid w:val="002B6179"/>
    <w:rsid w:val="002D0535"/>
    <w:rsid w:val="002D1F62"/>
    <w:rsid w:val="002D684C"/>
    <w:rsid w:val="002D6F2F"/>
    <w:rsid w:val="002E1670"/>
    <w:rsid w:val="002E3A88"/>
    <w:rsid w:val="002E4D91"/>
    <w:rsid w:val="002E7B3A"/>
    <w:rsid w:val="002F3E50"/>
    <w:rsid w:val="002F4A77"/>
    <w:rsid w:val="002F7B0F"/>
    <w:rsid w:val="00300FF8"/>
    <w:rsid w:val="00301010"/>
    <w:rsid w:val="00301C92"/>
    <w:rsid w:val="003064BA"/>
    <w:rsid w:val="003265FB"/>
    <w:rsid w:val="003319B2"/>
    <w:rsid w:val="00337EF7"/>
    <w:rsid w:val="00342916"/>
    <w:rsid w:val="003429BA"/>
    <w:rsid w:val="00342DF5"/>
    <w:rsid w:val="00347C7A"/>
    <w:rsid w:val="00352B64"/>
    <w:rsid w:val="003543BD"/>
    <w:rsid w:val="00355301"/>
    <w:rsid w:val="00357A2E"/>
    <w:rsid w:val="003900D8"/>
    <w:rsid w:val="003921E6"/>
    <w:rsid w:val="003945A6"/>
    <w:rsid w:val="00396AC5"/>
    <w:rsid w:val="003A283E"/>
    <w:rsid w:val="003A326C"/>
    <w:rsid w:val="003B76BA"/>
    <w:rsid w:val="003C6B4A"/>
    <w:rsid w:val="003D2B30"/>
    <w:rsid w:val="003D4EDF"/>
    <w:rsid w:val="003D7B1D"/>
    <w:rsid w:val="003E0DFB"/>
    <w:rsid w:val="003F043D"/>
    <w:rsid w:val="003F0BDC"/>
    <w:rsid w:val="003F0E56"/>
    <w:rsid w:val="003F3A65"/>
    <w:rsid w:val="003F4838"/>
    <w:rsid w:val="00401456"/>
    <w:rsid w:val="004055FE"/>
    <w:rsid w:val="00406176"/>
    <w:rsid w:val="00407CAC"/>
    <w:rsid w:val="00414272"/>
    <w:rsid w:val="00422ACC"/>
    <w:rsid w:val="00437D7D"/>
    <w:rsid w:val="00440750"/>
    <w:rsid w:val="004414B9"/>
    <w:rsid w:val="00444F14"/>
    <w:rsid w:val="004549B0"/>
    <w:rsid w:val="004604A3"/>
    <w:rsid w:val="004619C8"/>
    <w:rsid w:val="0046390A"/>
    <w:rsid w:val="0046545F"/>
    <w:rsid w:val="0046662E"/>
    <w:rsid w:val="00470271"/>
    <w:rsid w:val="0047312A"/>
    <w:rsid w:val="00483BF1"/>
    <w:rsid w:val="00487737"/>
    <w:rsid w:val="004A370E"/>
    <w:rsid w:val="004C4E58"/>
    <w:rsid w:val="004C757C"/>
    <w:rsid w:val="004D0DF8"/>
    <w:rsid w:val="004D0DFB"/>
    <w:rsid w:val="004E7AF1"/>
    <w:rsid w:val="004F12D7"/>
    <w:rsid w:val="004F5DB9"/>
    <w:rsid w:val="00501971"/>
    <w:rsid w:val="00507543"/>
    <w:rsid w:val="00507626"/>
    <w:rsid w:val="005173F1"/>
    <w:rsid w:val="00522C9C"/>
    <w:rsid w:val="00530BB4"/>
    <w:rsid w:val="00542C72"/>
    <w:rsid w:val="00543B64"/>
    <w:rsid w:val="00545586"/>
    <w:rsid w:val="0055311E"/>
    <w:rsid w:val="00554D9A"/>
    <w:rsid w:val="0056033E"/>
    <w:rsid w:val="00561774"/>
    <w:rsid w:val="00562953"/>
    <w:rsid w:val="00563133"/>
    <w:rsid w:val="00571F1B"/>
    <w:rsid w:val="00577AE8"/>
    <w:rsid w:val="00590914"/>
    <w:rsid w:val="0059190B"/>
    <w:rsid w:val="00595B50"/>
    <w:rsid w:val="00595DA2"/>
    <w:rsid w:val="00596053"/>
    <w:rsid w:val="00596EB8"/>
    <w:rsid w:val="005A0ED5"/>
    <w:rsid w:val="005A3B71"/>
    <w:rsid w:val="005B06D8"/>
    <w:rsid w:val="005B10B5"/>
    <w:rsid w:val="005B3A84"/>
    <w:rsid w:val="005B419F"/>
    <w:rsid w:val="005B425E"/>
    <w:rsid w:val="005B4FD4"/>
    <w:rsid w:val="005C7ABF"/>
    <w:rsid w:val="005E3B85"/>
    <w:rsid w:val="005E65A1"/>
    <w:rsid w:val="005F31A7"/>
    <w:rsid w:val="005F326A"/>
    <w:rsid w:val="005F32B8"/>
    <w:rsid w:val="005F43AB"/>
    <w:rsid w:val="005F5440"/>
    <w:rsid w:val="00603685"/>
    <w:rsid w:val="00605E32"/>
    <w:rsid w:val="00610A2B"/>
    <w:rsid w:val="00617318"/>
    <w:rsid w:val="0061772C"/>
    <w:rsid w:val="00621098"/>
    <w:rsid w:val="00625753"/>
    <w:rsid w:val="0063133A"/>
    <w:rsid w:val="006313AF"/>
    <w:rsid w:val="00632A69"/>
    <w:rsid w:val="006348D0"/>
    <w:rsid w:val="006373C4"/>
    <w:rsid w:val="00637666"/>
    <w:rsid w:val="006434C9"/>
    <w:rsid w:val="00653E0B"/>
    <w:rsid w:val="00655C0D"/>
    <w:rsid w:val="0066402E"/>
    <w:rsid w:val="006666D8"/>
    <w:rsid w:val="00673839"/>
    <w:rsid w:val="00673C8C"/>
    <w:rsid w:val="00682460"/>
    <w:rsid w:val="00690D0C"/>
    <w:rsid w:val="006A4053"/>
    <w:rsid w:val="006B1A1A"/>
    <w:rsid w:val="006B4C0C"/>
    <w:rsid w:val="006B76C0"/>
    <w:rsid w:val="006C204A"/>
    <w:rsid w:val="006C3C95"/>
    <w:rsid w:val="006D00B7"/>
    <w:rsid w:val="006D34A0"/>
    <w:rsid w:val="006D56DE"/>
    <w:rsid w:val="006D59C8"/>
    <w:rsid w:val="006D5F1F"/>
    <w:rsid w:val="006D6097"/>
    <w:rsid w:val="006E7255"/>
    <w:rsid w:val="006F19F0"/>
    <w:rsid w:val="00707185"/>
    <w:rsid w:val="007075DF"/>
    <w:rsid w:val="00714789"/>
    <w:rsid w:val="00715DC4"/>
    <w:rsid w:val="00715F8B"/>
    <w:rsid w:val="00721629"/>
    <w:rsid w:val="00723E16"/>
    <w:rsid w:val="00730B17"/>
    <w:rsid w:val="007346EE"/>
    <w:rsid w:val="007365D6"/>
    <w:rsid w:val="00737813"/>
    <w:rsid w:val="00742077"/>
    <w:rsid w:val="0074466C"/>
    <w:rsid w:val="007527C9"/>
    <w:rsid w:val="0075447A"/>
    <w:rsid w:val="00764746"/>
    <w:rsid w:val="007665F3"/>
    <w:rsid w:val="0077633B"/>
    <w:rsid w:val="007A5151"/>
    <w:rsid w:val="007A6290"/>
    <w:rsid w:val="007B02A8"/>
    <w:rsid w:val="007B16C7"/>
    <w:rsid w:val="007C08B7"/>
    <w:rsid w:val="007C5003"/>
    <w:rsid w:val="007C519A"/>
    <w:rsid w:val="007D1326"/>
    <w:rsid w:val="007D2DC5"/>
    <w:rsid w:val="007D614B"/>
    <w:rsid w:val="007D7528"/>
    <w:rsid w:val="007F36F3"/>
    <w:rsid w:val="007F4566"/>
    <w:rsid w:val="00801092"/>
    <w:rsid w:val="00805E44"/>
    <w:rsid w:val="0081242A"/>
    <w:rsid w:val="008161AE"/>
    <w:rsid w:val="008209A3"/>
    <w:rsid w:val="00833E60"/>
    <w:rsid w:val="00841504"/>
    <w:rsid w:val="00852C8E"/>
    <w:rsid w:val="00862FE0"/>
    <w:rsid w:val="00864DF6"/>
    <w:rsid w:val="00865A4C"/>
    <w:rsid w:val="00874985"/>
    <w:rsid w:val="00876F88"/>
    <w:rsid w:val="00881AC8"/>
    <w:rsid w:val="008823C9"/>
    <w:rsid w:val="008837C0"/>
    <w:rsid w:val="0089147C"/>
    <w:rsid w:val="00892E04"/>
    <w:rsid w:val="00896547"/>
    <w:rsid w:val="008A08BA"/>
    <w:rsid w:val="008A438E"/>
    <w:rsid w:val="008B5B77"/>
    <w:rsid w:val="008C40B3"/>
    <w:rsid w:val="008D78C8"/>
    <w:rsid w:val="008E1795"/>
    <w:rsid w:val="008E18DE"/>
    <w:rsid w:val="008F117F"/>
    <w:rsid w:val="008F7718"/>
    <w:rsid w:val="00902110"/>
    <w:rsid w:val="0091184C"/>
    <w:rsid w:val="009132A4"/>
    <w:rsid w:val="00915016"/>
    <w:rsid w:val="009156C8"/>
    <w:rsid w:val="00926F38"/>
    <w:rsid w:val="00927BEC"/>
    <w:rsid w:val="00932F8A"/>
    <w:rsid w:val="009518BD"/>
    <w:rsid w:val="00957982"/>
    <w:rsid w:val="00962D13"/>
    <w:rsid w:val="0097722A"/>
    <w:rsid w:val="00997158"/>
    <w:rsid w:val="009A720A"/>
    <w:rsid w:val="009C1B7F"/>
    <w:rsid w:val="009C5E57"/>
    <w:rsid w:val="009D013C"/>
    <w:rsid w:val="009D3AF0"/>
    <w:rsid w:val="009D3C84"/>
    <w:rsid w:val="009E71B1"/>
    <w:rsid w:val="009E7921"/>
    <w:rsid w:val="009F1C6A"/>
    <w:rsid w:val="009F5D5C"/>
    <w:rsid w:val="009F6E83"/>
    <w:rsid w:val="00A06DF6"/>
    <w:rsid w:val="00A1044A"/>
    <w:rsid w:val="00A108C5"/>
    <w:rsid w:val="00A124B3"/>
    <w:rsid w:val="00A12CCA"/>
    <w:rsid w:val="00A1479D"/>
    <w:rsid w:val="00A16461"/>
    <w:rsid w:val="00A21972"/>
    <w:rsid w:val="00A2220F"/>
    <w:rsid w:val="00A24DD5"/>
    <w:rsid w:val="00A35518"/>
    <w:rsid w:val="00A50791"/>
    <w:rsid w:val="00A51A64"/>
    <w:rsid w:val="00A534FA"/>
    <w:rsid w:val="00A56AD3"/>
    <w:rsid w:val="00A6357A"/>
    <w:rsid w:val="00A6648E"/>
    <w:rsid w:val="00A73265"/>
    <w:rsid w:val="00A73589"/>
    <w:rsid w:val="00A76EA1"/>
    <w:rsid w:val="00A87CE4"/>
    <w:rsid w:val="00AA662F"/>
    <w:rsid w:val="00AA72C8"/>
    <w:rsid w:val="00AB30A8"/>
    <w:rsid w:val="00AB4A59"/>
    <w:rsid w:val="00AB5C24"/>
    <w:rsid w:val="00AC17E5"/>
    <w:rsid w:val="00AC36C9"/>
    <w:rsid w:val="00AE0C2F"/>
    <w:rsid w:val="00AE6777"/>
    <w:rsid w:val="00AF35E9"/>
    <w:rsid w:val="00B03871"/>
    <w:rsid w:val="00B11F04"/>
    <w:rsid w:val="00B23504"/>
    <w:rsid w:val="00B259A9"/>
    <w:rsid w:val="00B25A22"/>
    <w:rsid w:val="00B338E5"/>
    <w:rsid w:val="00B33FAC"/>
    <w:rsid w:val="00B4134C"/>
    <w:rsid w:val="00B53A1C"/>
    <w:rsid w:val="00B552B7"/>
    <w:rsid w:val="00B55D13"/>
    <w:rsid w:val="00B6142B"/>
    <w:rsid w:val="00B62A50"/>
    <w:rsid w:val="00B648D3"/>
    <w:rsid w:val="00B64D28"/>
    <w:rsid w:val="00B65CC9"/>
    <w:rsid w:val="00B7313E"/>
    <w:rsid w:val="00B7482C"/>
    <w:rsid w:val="00B753D4"/>
    <w:rsid w:val="00BA5914"/>
    <w:rsid w:val="00BB043C"/>
    <w:rsid w:val="00BB3FA3"/>
    <w:rsid w:val="00BB700D"/>
    <w:rsid w:val="00BB737E"/>
    <w:rsid w:val="00BC2787"/>
    <w:rsid w:val="00BC2F32"/>
    <w:rsid w:val="00BC3D6D"/>
    <w:rsid w:val="00BD477F"/>
    <w:rsid w:val="00BD4A05"/>
    <w:rsid w:val="00BD78A2"/>
    <w:rsid w:val="00BE0092"/>
    <w:rsid w:val="00BE03A3"/>
    <w:rsid w:val="00BE5D2F"/>
    <w:rsid w:val="00BF0D58"/>
    <w:rsid w:val="00C07ACD"/>
    <w:rsid w:val="00C13435"/>
    <w:rsid w:val="00C22841"/>
    <w:rsid w:val="00C263D7"/>
    <w:rsid w:val="00C27ECC"/>
    <w:rsid w:val="00C304AB"/>
    <w:rsid w:val="00C456CA"/>
    <w:rsid w:val="00C50048"/>
    <w:rsid w:val="00C53A66"/>
    <w:rsid w:val="00C5764D"/>
    <w:rsid w:val="00C57BFF"/>
    <w:rsid w:val="00C62472"/>
    <w:rsid w:val="00C6720E"/>
    <w:rsid w:val="00C73E96"/>
    <w:rsid w:val="00C75B0D"/>
    <w:rsid w:val="00C763AB"/>
    <w:rsid w:val="00C80188"/>
    <w:rsid w:val="00C8588A"/>
    <w:rsid w:val="00C86B3D"/>
    <w:rsid w:val="00C93122"/>
    <w:rsid w:val="00CB586A"/>
    <w:rsid w:val="00CB5890"/>
    <w:rsid w:val="00CC0423"/>
    <w:rsid w:val="00CC0B9B"/>
    <w:rsid w:val="00CC167B"/>
    <w:rsid w:val="00CC4BF5"/>
    <w:rsid w:val="00CD3EBC"/>
    <w:rsid w:val="00CE22B8"/>
    <w:rsid w:val="00CE5743"/>
    <w:rsid w:val="00CF026E"/>
    <w:rsid w:val="00D144BB"/>
    <w:rsid w:val="00D15495"/>
    <w:rsid w:val="00D15C36"/>
    <w:rsid w:val="00D16DEA"/>
    <w:rsid w:val="00D17AB7"/>
    <w:rsid w:val="00D203D1"/>
    <w:rsid w:val="00D22FC1"/>
    <w:rsid w:val="00D27F3B"/>
    <w:rsid w:val="00D34836"/>
    <w:rsid w:val="00D35BE7"/>
    <w:rsid w:val="00D427AA"/>
    <w:rsid w:val="00D427D3"/>
    <w:rsid w:val="00D50585"/>
    <w:rsid w:val="00D51472"/>
    <w:rsid w:val="00D51514"/>
    <w:rsid w:val="00D53727"/>
    <w:rsid w:val="00D61085"/>
    <w:rsid w:val="00D64A59"/>
    <w:rsid w:val="00D9207C"/>
    <w:rsid w:val="00D93621"/>
    <w:rsid w:val="00D97787"/>
    <w:rsid w:val="00DB4406"/>
    <w:rsid w:val="00DB5A57"/>
    <w:rsid w:val="00DB7945"/>
    <w:rsid w:val="00DB7DC0"/>
    <w:rsid w:val="00DC378B"/>
    <w:rsid w:val="00DC5957"/>
    <w:rsid w:val="00DC6D48"/>
    <w:rsid w:val="00DD0370"/>
    <w:rsid w:val="00DD1357"/>
    <w:rsid w:val="00DD170E"/>
    <w:rsid w:val="00DE133E"/>
    <w:rsid w:val="00DE2774"/>
    <w:rsid w:val="00DE3C7D"/>
    <w:rsid w:val="00DE4969"/>
    <w:rsid w:val="00DE7D21"/>
    <w:rsid w:val="00DF0555"/>
    <w:rsid w:val="00E01C0C"/>
    <w:rsid w:val="00E15066"/>
    <w:rsid w:val="00E16723"/>
    <w:rsid w:val="00E32CAF"/>
    <w:rsid w:val="00E33FA5"/>
    <w:rsid w:val="00E358B8"/>
    <w:rsid w:val="00E40660"/>
    <w:rsid w:val="00E47CEC"/>
    <w:rsid w:val="00E50D23"/>
    <w:rsid w:val="00E5216D"/>
    <w:rsid w:val="00E524CA"/>
    <w:rsid w:val="00E56E89"/>
    <w:rsid w:val="00E57F4F"/>
    <w:rsid w:val="00E74B27"/>
    <w:rsid w:val="00E953F5"/>
    <w:rsid w:val="00EA7C2D"/>
    <w:rsid w:val="00EB651C"/>
    <w:rsid w:val="00EC791F"/>
    <w:rsid w:val="00ED323B"/>
    <w:rsid w:val="00ED4BE1"/>
    <w:rsid w:val="00EE3FDC"/>
    <w:rsid w:val="00EE5E88"/>
    <w:rsid w:val="00EE6980"/>
    <w:rsid w:val="00EE6F22"/>
    <w:rsid w:val="00EF0905"/>
    <w:rsid w:val="00EF291C"/>
    <w:rsid w:val="00EF5B28"/>
    <w:rsid w:val="00F21206"/>
    <w:rsid w:val="00F21FFE"/>
    <w:rsid w:val="00F363F9"/>
    <w:rsid w:val="00F603A0"/>
    <w:rsid w:val="00F60D89"/>
    <w:rsid w:val="00F628B3"/>
    <w:rsid w:val="00F6388A"/>
    <w:rsid w:val="00F639B2"/>
    <w:rsid w:val="00F7180E"/>
    <w:rsid w:val="00F8104C"/>
    <w:rsid w:val="00F81888"/>
    <w:rsid w:val="00F90577"/>
    <w:rsid w:val="00FA15B8"/>
    <w:rsid w:val="00FA27C7"/>
    <w:rsid w:val="00FC5D95"/>
    <w:rsid w:val="00FE3B31"/>
    <w:rsid w:val="00FE7AC2"/>
    <w:rsid w:val="00FF48AE"/>
    <w:rsid w:val="00FF5912"/>
    <w:rsid w:val="01705233"/>
    <w:rsid w:val="05E35AB4"/>
    <w:rsid w:val="07904584"/>
    <w:rsid w:val="18187094"/>
    <w:rsid w:val="1C3C12E2"/>
    <w:rsid w:val="1CF26FA1"/>
    <w:rsid w:val="27952CFE"/>
    <w:rsid w:val="2AF906B3"/>
    <w:rsid w:val="2B0F5533"/>
    <w:rsid w:val="2CC47A67"/>
    <w:rsid w:val="31FA10E4"/>
    <w:rsid w:val="3F312CF7"/>
    <w:rsid w:val="40457D90"/>
    <w:rsid w:val="4C731936"/>
    <w:rsid w:val="52DD2A86"/>
    <w:rsid w:val="55934C53"/>
    <w:rsid w:val="5EA26ECA"/>
    <w:rsid w:val="676E19A4"/>
    <w:rsid w:val="67892C53"/>
    <w:rsid w:val="6E456C8F"/>
    <w:rsid w:val="6EC541D9"/>
    <w:rsid w:val="6F1C4A1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
    <w:qFormat/>
    <w:uiPriority w:val="9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3"/>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4"/>
    <w:qFormat/>
    <w:uiPriority w:val="99"/>
    <w:pPr>
      <w:keepNext/>
      <w:keepLines/>
      <w:spacing w:before="260" w:after="260" w:line="416" w:lineRule="auto"/>
      <w:outlineLvl w:val="2"/>
    </w:pPr>
    <w:rPr>
      <w:rFonts w:ascii="Calibri" w:hAnsi="Calibri"/>
      <w:b/>
      <w:bCs/>
      <w:sz w:val="32"/>
      <w:szCs w:val="32"/>
    </w:rPr>
  </w:style>
  <w:style w:type="paragraph" w:styleId="5">
    <w:name w:val="heading 4"/>
    <w:basedOn w:val="1"/>
    <w:next w:val="1"/>
    <w:link w:val="25"/>
    <w:qFormat/>
    <w:uiPriority w:val="99"/>
    <w:pPr>
      <w:keepNext/>
      <w:keepLines/>
      <w:spacing w:beforeLines="50" w:after="290" w:line="377" w:lineRule="auto"/>
      <w:ind w:left="987"/>
      <w:outlineLvl w:val="3"/>
    </w:pPr>
    <w:rPr>
      <w:rFonts w:ascii="Cambria" w:hAnsi="Cambria"/>
      <w:b/>
      <w:bCs/>
      <w:color w:val="000000"/>
      <w:sz w:val="30"/>
      <w:szCs w:val="28"/>
    </w:rPr>
  </w:style>
  <w:style w:type="character" w:default="1" w:styleId="16">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5"/>
    <w:qFormat/>
    <w:uiPriority w:val="99"/>
    <w:rPr>
      <w:rFonts w:ascii="Calibri" w:hAnsi="Calibri"/>
      <w:b/>
      <w:bCs/>
      <w:szCs w:val="22"/>
    </w:rPr>
  </w:style>
  <w:style w:type="paragraph" w:styleId="7">
    <w:name w:val="annotation text"/>
    <w:basedOn w:val="1"/>
    <w:link w:val="44"/>
    <w:qFormat/>
    <w:uiPriority w:val="99"/>
    <w:pPr>
      <w:jc w:val="left"/>
    </w:pPr>
  </w:style>
  <w:style w:type="paragraph" w:styleId="8">
    <w:name w:val="Body Text"/>
    <w:basedOn w:val="1"/>
    <w:link w:val="40"/>
    <w:qFormat/>
    <w:uiPriority w:val="99"/>
    <w:pPr>
      <w:jc w:val="center"/>
    </w:pPr>
    <w:rPr>
      <w:sz w:val="44"/>
    </w:rPr>
  </w:style>
  <w:style w:type="paragraph" w:styleId="9">
    <w:name w:val="Body Text Indent"/>
    <w:basedOn w:val="1"/>
    <w:link w:val="37"/>
    <w:qFormat/>
    <w:uiPriority w:val="99"/>
    <w:pPr>
      <w:ind w:firstLine="360"/>
    </w:pPr>
  </w:style>
  <w:style w:type="paragraph" w:styleId="10">
    <w:name w:val="Plain Text"/>
    <w:basedOn w:val="1"/>
    <w:link w:val="49"/>
    <w:uiPriority w:val="99"/>
    <w:rPr>
      <w:rFonts w:ascii="宋体" w:hAnsi="Courier New" w:eastAsia="仿宋_GB2312"/>
      <w:sz w:val="30"/>
    </w:rPr>
  </w:style>
  <w:style w:type="paragraph" w:styleId="11">
    <w:name w:val="Date"/>
    <w:basedOn w:val="1"/>
    <w:next w:val="1"/>
    <w:link w:val="39"/>
    <w:uiPriority w:val="99"/>
    <w:rPr>
      <w:rFonts w:ascii="仿宋_GB2312" w:eastAsia="仿宋_GB2312"/>
      <w:sz w:val="32"/>
    </w:rPr>
  </w:style>
  <w:style w:type="paragraph" w:styleId="12">
    <w:name w:val="Balloon Text"/>
    <w:basedOn w:val="1"/>
    <w:link w:val="36"/>
    <w:qFormat/>
    <w:uiPriority w:val="99"/>
    <w:rPr>
      <w:sz w:val="18"/>
    </w:rPr>
  </w:style>
  <w:style w:type="paragraph" w:styleId="13">
    <w:name w:val="footer"/>
    <w:basedOn w:val="1"/>
    <w:link w:val="48"/>
    <w:qFormat/>
    <w:uiPriority w:val="99"/>
    <w:pPr>
      <w:tabs>
        <w:tab w:val="center" w:pos="4153"/>
        <w:tab w:val="right" w:pos="8306"/>
      </w:tabs>
      <w:snapToGrid w:val="0"/>
      <w:jc w:val="left"/>
    </w:pPr>
    <w:rPr>
      <w:sz w:val="18"/>
      <w:szCs w:val="18"/>
    </w:rPr>
  </w:style>
  <w:style w:type="paragraph" w:styleId="14">
    <w:name w:val="header"/>
    <w:basedOn w:val="1"/>
    <w:link w:val="43"/>
    <w:qFormat/>
    <w:uiPriority w:val="99"/>
    <w:pPr>
      <w:pBdr>
        <w:bottom w:val="single" w:color="auto" w:sz="6" w:space="1"/>
      </w:pBdr>
      <w:tabs>
        <w:tab w:val="center" w:pos="4153"/>
        <w:tab w:val="right" w:pos="8306"/>
      </w:tabs>
      <w:snapToGrid w:val="0"/>
      <w:jc w:val="center"/>
    </w:pPr>
    <w:rPr>
      <w:sz w:val="18"/>
    </w:rPr>
  </w:style>
  <w:style w:type="paragraph" w:styleId="15">
    <w:name w:val="Normal (Web)"/>
    <w:basedOn w:val="1"/>
    <w:uiPriority w:val="99"/>
    <w:pPr>
      <w:widowControl/>
      <w:spacing w:before="100" w:beforeAutospacing="1" w:after="100" w:afterAutospacing="1"/>
      <w:jc w:val="left"/>
    </w:pPr>
    <w:rPr>
      <w:kern w:val="0"/>
      <w:sz w:val="24"/>
      <w:szCs w:val="24"/>
    </w:rPr>
  </w:style>
  <w:style w:type="character" w:styleId="17">
    <w:name w:val="Strong"/>
    <w:basedOn w:val="16"/>
    <w:qFormat/>
    <w:uiPriority w:val="99"/>
    <w:rPr>
      <w:rFonts w:cs="Times New Roman"/>
      <w:b/>
    </w:rPr>
  </w:style>
  <w:style w:type="character" w:styleId="18">
    <w:name w:val="page number"/>
    <w:basedOn w:val="16"/>
    <w:qFormat/>
    <w:uiPriority w:val="99"/>
    <w:rPr>
      <w:rFonts w:cs="Times New Roman"/>
    </w:rPr>
  </w:style>
  <w:style w:type="character" w:styleId="19">
    <w:name w:val="annotation reference"/>
    <w:basedOn w:val="16"/>
    <w:qFormat/>
    <w:uiPriority w:val="99"/>
    <w:rPr>
      <w:rFonts w:cs="Times New Roman"/>
      <w:sz w:val="21"/>
      <w:szCs w:val="21"/>
    </w:rPr>
  </w:style>
  <w:style w:type="table" w:styleId="21">
    <w:name w:val="Table Grid"/>
    <w:basedOn w:val="20"/>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标题 1 Char"/>
    <w:basedOn w:val="16"/>
    <w:link w:val="2"/>
    <w:locked/>
    <w:uiPriority w:val="99"/>
    <w:rPr>
      <w:rFonts w:ascii="Calibri" w:hAnsi="Calibri" w:eastAsia="宋体" w:cs="Times New Roman"/>
      <w:b/>
      <w:bCs/>
      <w:kern w:val="44"/>
      <w:sz w:val="44"/>
      <w:szCs w:val="44"/>
    </w:rPr>
  </w:style>
  <w:style w:type="character" w:customStyle="1" w:styleId="23">
    <w:name w:val="标题 2 Char"/>
    <w:basedOn w:val="16"/>
    <w:link w:val="3"/>
    <w:qFormat/>
    <w:locked/>
    <w:uiPriority w:val="99"/>
    <w:rPr>
      <w:rFonts w:ascii="Cambria" w:hAnsi="Cambria" w:eastAsia="宋体" w:cs="Times New Roman"/>
      <w:b/>
      <w:bCs/>
      <w:kern w:val="2"/>
      <w:sz w:val="32"/>
      <w:szCs w:val="32"/>
    </w:rPr>
  </w:style>
  <w:style w:type="character" w:customStyle="1" w:styleId="24">
    <w:name w:val="标题 3 Char"/>
    <w:basedOn w:val="16"/>
    <w:link w:val="4"/>
    <w:qFormat/>
    <w:locked/>
    <w:uiPriority w:val="99"/>
    <w:rPr>
      <w:rFonts w:ascii="Calibri" w:hAnsi="Calibri" w:eastAsia="宋体" w:cs="Times New Roman"/>
      <w:b/>
      <w:bCs/>
      <w:kern w:val="2"/>
      <w:sz w:val="32"/>
      <w:szCs w:val="32"/>
    </w:rPr>
  </w:style>
  <w:style w:type="character" w:customStyle="1" w:styleId="25">
    <w:name w:val="标题 4 Char"/>
    <w:basedOn w:val="16"/>
    <w:link w:val="5"/>
    <w:qFormat/>
    <w:locked/>
    <w:uiPriority w:val="99"/>
    <w:rPr>
      <w:rFonts w:ascii="Cambria" w:hAnsi="Cambria" w:cs="Times New Roman"/>
      <w:b/>
      <w:bCs/>
      <w:color w:val="000000"/>
      <w:kern w:val="2"/>
      <w:sz w:val="28"/>
      <w:szCs w:val="28"/>
    </w:rPr>
  </w:style>
  <w:style w:type="character" w:customStyle="1" w:styleId="26">
    <w:name w:val="批注文字 Char"/>
    <w:basedOn w:val="16"/>
    <w:link w:val="7"/>
    <w:qFormat/>
    <w:locked/>
    <w:uiPriority w:val="99"/>
    <w:rPr>
      <w:rFonts w:cs="Times New Roman"/>
      <w:kern w:val="2"/>
      <w:sz w:val="21"/>
    </w:rPr>
  </w:style>
  <w:style w:type="character" w:customStyle="1" w:styleId="27">
    <w:name w:val="正文文本 Char"/>
    <w:link w:val="8"/>
    <w:qFormat/>
    <w:locked/>
    <w:uiPriority w:val="99"/>
    <w:rPr>
      <w:kern w:val="2"/>
      <w:sz w:val="44"/>
    </w:rPr>
  </w:style>
  <w:style w:type="character" w:customStyle="1" w:styleId="28">
    <w:name w:val="页脚 Char"/>
    <w:basedOn w:val="16"/>
    <w:link w:val="13"/>
    <w:qFormat/>
    <w:locked/>
    <w:uiPriority w:val="99"/>
    <w:rPr>
      <w:rFonts w:cs="Times New Roman"/>
      <w:kern w:val="2"/>
      <w:sz w:val="18"/>
      <w:szCs w:val="18"/>
    </w:rPr>
  </w:style>
  <w:style w:type="character" w:customStyle="1" w:styleId="29">
    <w:name w:val="纯文本 Char"/>
    <w:basedOn w:val="16"/>
    <w:link w:val="10"/>
    <w:locked/>
    <w:uiPriority w:val="99"/>
    <w:rPr>
      <w:rFonts w:ascii="宋体" w:hAnsi="Courier New" w:eastAsia="仿宋_GB2312" w:cs="Times New Roman"/>
      <w:kern w:val="2"/>
      <w:sz w:val="30"/>
    </w:rPr>
  </w:style>
  <w:style w:type="character" w:customStyle="1" w:styleId="30">
    <w:name w:val="font11"/>
    <w:basedOn w:val="16"/>
    <w:qFormat/>
    <w:uiPriority w:val="99"/>
    <w:rPr>
      <w:rFonts w:ascii="宋体" w:hAnsi="宋体" w:eastAsia="宋体" w:cs="宋体"/>
      <w:color w:val="000000"/>
      <w:sz w:val="24"/>
      <w:szCs w:val="24"/>
      <w:u w:val="none"/>
    </w:rPr>
  </w:style>
  <w:style w:type="character" w:customStyle="1" w:styleId="31">
    <w:name w:val="font21"/>
    <w:basedOn w:val="16"/>
    <w:qFormat/>
    <w:uiPriority w:val="99"/>
    <w:rPr>
      <w:rFonts w:ascii="宋体" w:hAnsi="宋体" w:eastAsia="宋体" w:cs="宋体"/>
      <w:color w:val="000000"/>
      <w:sz w:val="32"/>
      <w:szCs w:val="32"/>
      <w:u w:val="none"/>
    </w:rPr>
  </w:style>
  <w:style w:type="character" w:customStyle="1" w:styleId="32">
    <w:name w:val="font31"/>
    <w:basedOn w:val="16"/>
    <w:uiPriority w:val="99"/>
    <w:rPr>
      <w:rFonts w:ascii="宋体" w:hAnsi="宋体" w:eastAsia="宋体" w:cs="宋体"/>
      <w:color w:val="000000"/>
      <w:sz w:val="32"/>
      <w:szCs w:val="32"/>
      <w:u w:val="single"/>
    </w:rPr>
  </w:style>
  <w:style w:type="character" w:customStyle="1" w:styleId="33">
    <w:name w:val="页眉 Char"/>
    <w:link w:val="14"/>
    <w:qFormat/>
    <w:locked/>
    <w:uiPriority w:val="99"/>
    <w:rPr>
      <w:kern w:val="2"/>
      <w:sz w:val="18"/>
    </w:rPr>
  </w:style>
  <w:style w:type="character" w:customStyle="1" w:styleId="34">
    <w:name w:val="批注主题 Char"/>
    <w:basedOn w:val="26"/>
    <w:link w:val="6"/>
    <w:locked/>
    <w:uiPriority w:val="99"/>
    <w:rPr>
      <w:rFonts w:ascii="Calibri" w:hAnsi="Calibri" w:eastAsia="宋体"/>
      <w:b/>
      <w:bCs/>
      <w:sz w:val="22"/>
      <w:szCs w:val="22"/>
    </w:rPr>
  </w:style>
  <w:style w:type="character" w:customStyle="1" w:styleId="35">
    <w:name w:val="批注框文本 Char"/>
    <w:link w:val="12"/>
    <w:locked/>
    <w:uiPriority w:val="99"/>
    <w:rPr>
      <w:kern w:val="2"/>
      <w:sz w:val="18"/>
    </w:rPr>
  </w:style>
  <w:style w:type="character" w:customStyle="1" w:styleId="36">
    <w:name w:val="Balloon Text Char1"/>
    <w:basedOn w:val="16"/>
    <w:link w:val="12"/>
    <w:semiHidden/>
    <w:qFormat/>
    <w:locked/>
    <w:uiPriority w:val="99"/>
    <w:rPr>
      <w:rFonts w:cs="Times New Roman"/>
      <w:sz w:val="2"/>
    </w:rPr>
  </w:style>
  <w:style w:type="character" w:customStyle="1" w:styleId="37">
    <w:name w:val="正文文本缩进 Char"/>
    <w:basedOn w:val="16"/>
    <w:link w:val="9"/>
    <w:locked/>
    <w:uiPriority w:val="99"/>
    <w:rPr>
      <w:rFonts w:cs="Times New Roman"/>
      <w:kern w:val="2"/>
      <w:sz w:val="21"/>
    </w:rPr>
  </w:style>
  <w:style w:type="paragraph" w:customStyle="1" w:styleId="38">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39">
    <w:name w:val="日期 Char"/>
    <w:basedOn w:val="16"/>
    <w:link w:val="11"/>
    <w:semiHidden/>
    <w:qFormat/>
    <w:locked/>
    <w:uiPriority w:val="99"/>
    <w:rPr>
      <w:rFonts w:cs="Times New Roman"/>
      <w:sz w:val="20"/>
      <w:szCs w:val="20"/>
    </w:rPr>
  </w:style>
  <w:style w:type="character" w:customStyle="1" w:styleId="40">
    <w:name w:val="Body Text Char1"/>
    <w:basedOn w:val="16"/>
    <w:link w:val="8"/>
    <w:semiHidden/>
    <w:qFormat/>
    <w:locked/>
    <w:uiPriority w:val="99"/>
    <w:rPr>
      <w:rFonts w:cs="Times New Roman"/>
      <w:sz w:val="20"/>
      <w:szCs w:val="20"/>
    </w:rPr>
  </w:style>
  <w:style w:type="paragraph" w:customStyle="1" w:styleId="41">
    <w:name w:val="List Paragraph"/>
    <w:basedOn w:val="1"/>
    <w:qFormat/>
    <w:uiPriority w:val="99"/>
    <w:pPr>
      <w:ind w:firstLine="420" w:firstLineChars="200"/>
    </w:pPr>
    <w:rPr>
      <w:rFonts w:ascii="Calibri" w:hAnsi="Calibri"/>
      <w:szCs w:val="24"/>
    </w:rPr>
  </w:style>
  <w:style w:type="paragraph" w:customStyle="1" w:styleId="42">
    <w:name w:val="默认段落字体 Para Char Char Char Char Char Char Char"/>
    <w:basedOn w:val="1"/>
    <w:qFormat/>
    <w:uiPriority w:val="99"/>
    <w:rPr>
      <w:rFonts w:ascii="Tahoma" w:hAnsi="Tahoma"/>
      <w:sz w:val="24"/>
    </w:rPr>
  </w:style>
  <w:style w:type="character" w:customStyle="1" w:styleId="43">
    <w:name w:val="Header Char1"/>
    <w:basedOn w:val="16"/>
    <w:link w:val="14"/>
    <w:semiHidden/>
    <w:locked/>
    <w:uiPriority w:val="99"/>
    <w:rPr>
      <w:rFonts w:cs="Times New Roman"/>
      <w:sz w:val="18"/>
      <w:szCs w:val="18"/>
    </w:rPr>
  </w:style>
  <w:style w:type="character" w:customStyle="1" w:styleId="44">
    <w:name w:val="Comment Text Char1"/>
    <w:basedOn w:val="16"/>
    <w:link w:val="7"/>
    <w:semiHidden/>
    <w:locked/>
    <w:uiPriority w:val="99"/>
    <w:rPr>
      <w:rFonts w:cs="Times New Roman"/>
      <w:sz w:val="20"/>
      <w:szCs w:val="20"/>
    </w:rPr>
  </w:style>
  <w:style w:type="character" w:customStyle="1" w:styleId="45">
    <w:name w:val="Comment Subject Char1"/>
    <w:basedOn w:val="26"/>
    <w:link w:val="6"/>
    <w:semiHidden/>
    <w:locked/>
    <w:uiPriority w:val="99"/>
    <w:rPr>
      <w:b/>
      <w:bCs/>
      <w:sz w:val="20"/>
      <w:szCs w:val="20"/>
    </w:rPr>
  </w:style>
  <w:style w:type="paragraph" w:customStyle="1" w:styleId="46">
    <w:name w:val="Char Char1"/>
    <w:basedOn w:val="1"/>
    <w:uiPriority w:val="99"/>
    <w:pPr>
      <w:widowControl/>
      <w:spacing w:after="160" w:line="240" w:lineRule="exact"/>
      <w:jc w:val="left"/>
    </w:pPr>
    <w:rPr>
      <w:rFonts w:ascii="Verdana" w:hAnsi="Verdana"/>
      <w:kern w:val="0"/>
      <w:sz w:val="20"/>
      <w:lang w:eastAsia="en-US"/>
    </w:rPr>
  </w:style>
  <w:style w:type="paragraph" w:customStyle="1" w:styleId="47">
    <w:name w:val="列出段落1"/>
    <w:basedOn w:val="1"/>
    <w:uiPriority w:val="99"/>
    <w:pPr>
      <w:ind w:firstLine="420" w:firstLineChars="200"/>
    </w:pPr>
    <w:rPr>
      <w:rFonts w:ascii="Calibri" w:hAnsi="Calibri"/>
      <w:szCs w:val="24"/>
    </w:rPr>
  </w:style>
  <w:style w:type="character" w:customStyle="1" w:styleId="48">
    <w:name w:val="Footer Char1"/>
    <w:basedOn w:val="16"/>
    <w:link w:val="13"/>
    <w:semiHidden/>
    <w:locked/>
    <w:uiPriority w:val="99"/>
    <w:rPr>
      <w:rFonts w:cs="Times New Roman"/>
      <w:sz w:val="18"/>
      <w:szCs w:val="18"/>
    </w:rPr>
  </w:style>
  <w:style w:type="character" w:customStyle="1" w:styleId="49">
    <w:name w:val="Plain Text Char1"/>
    <w:basedOn w:val="16"/>
    <w:link w:val="10"/>
    <w:semiHidden/>
    <w:qFormat/>
    <w:locked/>
    <w:uiPriority w:val="99"/>
    <w:rPr>
      <w:rFonts w:ascii="宋体" w:hAnsi="Courier New" w:cs="Courier New"/>
      <w:sz w:val="21"/>
      <w:szCs w:val="21"/>
    </w:rPr>
  </w:style>
  <w:style w:type="paragraph" w:customStyle="1" w:styleId="50">
    <w:name w:val="p2"/>
    <w:basedOn w:val="1"/>
    <w:uiPriority w:val="99"/>
    <w:pPr>
      <w:widowControl/>
      <w:spacing w:before="100" w:beforeAutospacing="1" w:after="100" w:afterAutospacing="1" w:line="600" w:lineRule="atLeast"/>
      <w:jc w:val="left"/>
    </w:pPr>
    <w:rPr>
      <w:rFonts w:ascii="仿宋_GB2312" w:hAnsi="宋体" w:eastAsia="仿宋_GB2312" w:cs="宋体"/>
      <w:color w:val="000000"/>
      <w:kern w:val="0"/>
      <w:sz w:val="32"/>
      <w:szCs w:val="32"/>
    </w:rPr>
  </w:style>
  <w:style w:type="character" w:customStyle="1" w:styleId="51">
    <w:name w:val="fontstyle01"/>
    <w:basedOn w:val="16"/>
    <w:uiPriority w:val="99"/>
    <w:rPr>
      <w:rFonts w:ascii="仿宋_GB2312" w:eastAsia="仿宋_GB2312" w:cs="Times New Roman"/>
      <w:color w:val="000000"/>
      <w:sz w:val="32"/>
      <w:szCs w:val="32"/>
    </w:rPr>
  </w:style>
  <w:style w:type="paragraph" w:customStyle="1" w:styleId="52">
    <w:name w:val="样式4"/>
    <w:basedOn w:val="1"/>
    <w:uiPriority w:val="99"/>
    <w:pPr>
      <w:spacing w:line="560" w:lineRule="exact"/>
      <w:ind w:firstLine="1040" w:firstLineChars="200"/>
    </w:pPr>
    <w:rPr>
      <w:rFonts w:eastAsia="仿宋_GB2312"/>
      <w:b/>
      <w:sz w:val="32"/>
      <w:szCs w:val="24"/>
    </w:rPr>
  </w:style>
  <w:style w:type="paragraph" w:customStyle="1" w:styleId="53">
    <w:name w:val="4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4">
    <w:name w:val="Heading 21"/>
    <w:basedOn w:val="1"/>
    <w:uiPriority w:val="99"/>
    <w:pPr>
      <w:ind w:left="113"/>
      <w:jc w:val="left"/>
      <w:outlineLvl w:val="2"/>
    </w:pPr>
    <w:rPr>
      <w:rFonts w:ascii="宋体" w:hAnsi="宋体"/>
      <w:kern w:val="0"/>
      <w:sz w:val="29"/>
      <w:szCs w:val="29"/>
      <w:lang w:eastAsia="en-US"/>
    </w:rPr>
  </w:style>
  <w:style w:type="character" w:customStyle="1" w:styleId="55">
    <w:name w:val="NormalCharacter"/>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590</Words>
  <Characters>3367</Characters>
  <Lines>28</Lines>
  <Paragraphs>7</Paragraphs>
  <ScaleCrop>false</ScaleCrop>
  <LinksUpToDate>false</LinksUpToDate>
  <CharactersWithSpaces>3950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2006-01-02T23:24:00Z</dcterms:created>
  <dc:creator>linhong</dc:creator>
  <cp:lastModifiedBy>Administrator</cp:lastModifiedBy>
  <cp:lastPrinted>2019-12-31T02:14:00Z</cp:lastPrinted>
  <dcterms:modified xsi:type="dcterms:W3CDTF">2021-01-25T02:24:57Z</dcterms:modified>
  <dc:title>塘计[2004]1号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