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outlineLvl w:val="9"/>
        <w:rPr>
          <w:rFonts w:ascii="Times New Roman" w:hAnsi="Times New Roman" w:eastAsia="黑体" w:cs="等线"/>
          <w:bCs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hAnsi="Times New Roman" w:eastAsia="黑体" w:cs="黑体"/>
          <w:b w:val="0"/>
          <w:bCs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等线"/>
          <w:bCs/>
          <w:caps w:val="0"/>
          <w:small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新冠病毒核酸检测项目价格及医保支付标准表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0"/>
        <w:jc w:val="both"/>
        <w:textAlignment w:val="auto"/>
        <w:outlineLvl w:val="9"/>
        <w:rPr>
          <w:rFonts w:ascii="Times New Roman" w:hAnsi="Times New Roman" w:eastAsia="宋体" w:cs="Times New Roman"/>
          <w:caps w:val="0"/>
          <w:smallCaps w:val="0"/>
          <w:color w:val="auto"/>
          <w:sz w:val="21"/>
          <w:szCs w:val="21"/>
          <w:vertAlign w:val="baseline"/>
        </w:rPr>
      </w:pPr>
    </w:p>
    <w:tbl>
      <w:tblPr>
        <w:tblStyle w:val="5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16"/>
        <w:gridCol w:w="3390"/>
        <w:gridCol w:w="720"/>
        <w:gridCol w:w="712"/>
        <w:gridCol w:w="992"/>
        <w:gridCol w:w="2268"/>
        <w:gridCol w:w="992"/>
        <w:gridCol w:w="1134"/>
        <w:gridCol w:w="123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17" w:firstLineChars="49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1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医保支付项目等级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医保增付比例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（%）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医保最高支付标准（元）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Cs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支付范围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新冠病毒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核酸检测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样本类型：各种标本。样本采集、交接、签收、处理（根据标本类型不同进行相应的前处理），提取模板</w:t>
            </w: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RNA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，与阴、阳性对照及质控品同时进行实时扩增，分析扩增产物，判断并审核结果，录入实验室信息系统或人工登记，发送报告；按规定处理废弃物；接受临床相关咨询。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根据疫情需要，按照市卫健部门技术要求和标准实施混合检测时，价格每人份不高于</w:t>
            </w: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元收费。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40" w:firstLineChars="5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等线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仿宋_GB2312" w:cs="等线"/>
                <w:caps w:val="0"/>
                <w:small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smallCap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新冠肺炎确诊患者或疑似患者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183B"/>
    <w:rsid w:val="0A4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276</Characters>
  <Lines>0</Lines>
  <Paragraphs>0</Paragraphs>
  <TotalTime>0</TotalTime>
  <ScaleCrop>false</ScaleCrop>
  <LinksUpToDate>false</LinksUpToDate>
  <CharactersWithSpaces>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2022-04-06T09:42:00Z</dcterms:created>
  <dc:creator>tech-winning</dc:creator>
  <cp:lastModifiedBy>tech-winning</cp:lastModifiedBy>
  <dcterms:modified xsi:type="dcterms:W3CDTF">2022-04-06T09:42:54Z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F777860101164F5DA25B41A550AF5966</vt:lpwstr>
  </property>
</Properties>
</file>