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等线"/>
          <w:bCs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Times New Roman" w:eastAsia="黑体" w:cs="黑体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等线"/>
          <w:bCs/>
          <w:caps w:val="0"/>
          <w:color w:val="auto"/>
          <w:sz w:val="44"/>
          <w:szCs w:val="44"/>
          <w:vertAlign w:val="baseline"/>
        </w:rPr>
      </w:pPr>
      <w:r>
        <w:rPr>
          <w:rFonts w:ascii="Times New Roman" w:hAnsi="Times New Roman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新冠病毒核酸检测项目价格及医保支付标准表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</w:p>
    <w:tbl>
      <w:tblPr>
        <w:tblStyle w:val="4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415"/>
        <w:gridCol w:w="3388"/>
        <w:gridCol w:w="719"/>
        <w:gridCol w:w="711"/>
        <w:gridCol w:w="991"/>
        <w:gridCol w:w="2266"/>
        <w:gridCol w:w="991"/>
        <w:gridCol w:w="1133"/>
        <w:gridCol w:w="123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项目内涵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除外内容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计价单位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17" w:firstLineChars="49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1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医保支付项目等级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医保增付比例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（%）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医保最高支付标准（元）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支付范围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新冠病毒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核酸检测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样本类型：各种标本。样本采集、交接、签收、处理（根据标本类型不同进行相应的前处理），提取模板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RNA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，与阴、阳性对照及质控品同时进行实时扩增，分析扩增产物，判断并审核结果，录入实验室信息系统或人工登记，发送报告；按规定处理废弃物；接受临床相关咨询。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人份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eastAsia="zh-CN" w:bidi="ar"/>
              </w:rPr>
              <w:t>19.7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根据疫情需要，按照市卫健部门技术要求和标准实施混合检测时，每人份按不高于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eastAsia="zh-CN" w:bidi="ar"/>
              </w:rPr>
              <w:t>3.4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元收费。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auto"/>
                <w:kern w:val="2"/>
                <w:sz w:val="28"/>
                <w:szCs w:val="21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40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auto"/>
                <w:kern w:val="2"/>
                <w:sz w:val="28"/>
                <w:szCs w:val="21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auto"/>
                <w:kern w:val="2"/>
                <w:sz w:val="28"/>
                <w:szCs w:val="21"/>
                <w:vertAlign w:val="baseline"/>
                <w:lang w:eastAsia="zh-CN" w:bidi="ar"/>
              </w:rPr>
              <w:t>19.7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等线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新冠肺炎确诊患者或疑似患者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DJjNTFhZDQ1MDg2ZjYyMGU0M2U3YTNlMjA4NWEifQ=="/>
  </w:docVars>
  <w:rsids>
    <w:rsidRoot w:val="149160CE"/>
    <w:rsid w:val="149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2022-05-09T09:29:00Z</dcterms:created>
  <dc:creator>tech-winning</dc:creator>
  <cp:lastModifiedBy>tech-winning</cp:lastModifiedBy>
  <dcterms:modified xsi:type="dcterms:W3CDTF">2022-05-09T09:29:57Z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91BA522F043941D5AD4D5424983BC371</vt:lpwstr>
  </property>
</Properties>
</file>