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180" w:lineRule="exact"/>
        <w:textAlignment w:val="auto"/>
        <w:rPr>
          <w:rFonts w:ascii="Times New Roman" w:hAnsi="Times New Roman" w:eastAsia="文星简小标宋"/>
          <w:color w:val="FF0000"/>
          <w:spacing w:val="-12"/>
          <w:w w:val="64"/>
          <w:sz w:val="92"/>
          <w:szCs w:val="92"/>
        </w:rPr>
      </w:pPr>
    </w:p>
    <w:p>
      <w:pPr>
        <w:keepNext w:val="0"/>
        <w:keepLines w:val="0"/>
        <w:pageBreakBefore w:val="0"/>
        <w:widowControl w:val="0"/>
        <w:kinsoku/>
        <w:wordWrap/>
        <w:overflowPunct/>
        <w:topLinePunct w:val="0"/>
        <w:autoSpaceDE/>
        <w:autoSpaceDN/>
        <w:bidi w:val="0"/>
        <w:adjustRightInd w:val="0"/>
        <w:snapToGrid/>
        <w:spacing w:line="1160" w:lineRule="exact"/>
        <w:ind w:left="210" w:leftChars="100" w:right="1359" w:rightChars="647"/>
        <w:jc w:val="distribute"/>
        <w:textAlignment w:val="auto"/>
        <w:rPr>
          <w:rFonts w:ascii="Times New Roman" w:hAnsi="Times New Roman" w:eastAsia="方正小标宋简体"/>
          <w:snapToGrid w:val="0"/>
          <w:color w:val="FF0000"/>
          <w:spacing w:val="-40"/>
          <w:w w:val="50"/>
          <w:kern w:val="0"/>
          <w:sz w:val="112"/>
          <w:szCs w:val="112"/>
        </w:rPr>
      </w:pPr>
      <w:r>
        <w:rPr>
          <w:rFonts w:ascii="Times New Roman" w:hAnsi="Times New Roman" w:eastAsia="方正小标宋简体"/>
          <w:spacing w:val="-40"/>
          <w:w w:val="50"/>
          <w:sz w:val="112"/>
          <w:szCs w:val="112"/>
        </w:rPr>
        <mc:AlternateContent>
          <mc:Choice Requires="wps">
            <w:drawing>
              <wp:anchor distT="0" distB="0" distL="114300" distR="114300" simplePos="0" relativeHeight="251689984" behindDoc="0" locked="0" layoutInCell="1" allowOverlap="1">
                <wp:simplePos x="0" y="0"/>
                <wp:positionH relativeFrom="column">
                  <wp:posOffset>4709160</wp:posOffset>
                </wp:positionH>
                <wp:positionV relativeFrom="paragraph">
                  <wp:posOffset>133350</wp:posOffset>
                </wp:positionV>
                <wp:extent cx="1171575" cy="1066800"/>
                <wp:effectExtent l="0" t="0" r="0" b="0"/>
                <wp:wrapNone/>
                <wp:docPr id="5" name="矩形 43"/>
                <wp:cNvGraphicFramePr/>
                <a:graphic xmlns:a="http://schemas.openxmlformats.org/drawingml/2006/main">
                  <a:graphicData uri="http://schemas.microsoft.com/office/word/2010/wordprocessingShape">
                    <wps:wsp>
                      <wps:cNvSpPr/>
                      <wps:spPr>
                        <a:xfrm>
                          <a:off x="0" y="0"/>
                          <a:ext cx="1171575" cy="1066800"/>
                        </a:xfrm>
                        <a:prstGeom prst="rect">
                          <a:avLst/>
                        </a:prstGeom>
                        <a:noFill/>
                        <a:ln>
                          <a:noFill/>
                        </a:ln>
                        <a:effectLst/>
                      </wps:spPr>
                      <wps:txbx>
                        <w:txbxContent>
                          <w:p>
                            <w:pPr>
                              <w:spacing w:line="1400" w:lineRule="exact"/>
                              <w:rPr>
                                <w:rFonts w:ascii="文星简小标宋" w:hAnsi="宋体" w:eastAsia="文星简小标宋"/>
                                <w:color w:val="FF0000"/>
                                <w:spacing w:val="-40"/>
                                <w:sz w:val="120"/>
                                <w:szCs w:val="120"/>
                              </w:rPr>
                            </w:pPr>
                            <w:r>
                              <w:rPr>
                                <w:rFonts w:hint="eastAsia" w:ascii="文星简小标宋" w:hAnsi="宋体" w:eastAsia="文星简小标宋"/>
                                <w:bCs/>
                                <w:snapToGrid w:val="0"/>
                                <w:color w:val="FF0000"/>
                                <w:spacing w:val="-40"/>
                                <w:w w:val="70"/>
                                <w:kern w:val="0"/>
                                <w:sz w:val="120"/>
                                <w:szCs w:val="120"/>
                              </w:rPr>
                              <w:t>文</w:t>
                            </w:r>
                            <w:r>
                              <w:rPr>
                                <w:rFonts w:hint="eastAsia" w:ascii="文星简小标宋" w:hAnsi="宋体" w:eastAsia="文星简小标宋"/>
                                <w:bCs/>
                                <w:color w:val="FF0000"/>
                                <w:spacing w:val="-40"/>
                                <w:w w:val="70"/>
                                <w:sz w:val="120"/>
                                <w:szCs w:val="120"/>
                              </w:rPr>
                              <w:t>件</w:t>
                            </w:r>
                          </w:p>
                        </w:txbxContent>
                      </wps:txbx>
                      <wps:bodyPr vert="horz" anchor="t" anchorCtr="false" upright="true"/>
                    </wps:wsp>
                  </a:graphicData>
                </a:graphic>
              </wp:anchor>
            </w:drawing>
          </mc:Choice>
          <mc:Fallback>
            <w:pict>
              <v:rect id="矩形 43" o:spid="_x0000_s1026" o:spt="1" style="position:absolute;left:0pt;margin-left:370.8pt;margin-top:10.5pt;height:84pt;width:92.25pt;z-index:251689984;mso-width-relative:page;mso-height-relative:page;" filled="f" stroked="f" coordsize="21600,21600" o:gfxdata="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VJUw8toAAAAKAQAADwAAAAAAAAABACAAAAA4AAAAZHJzL2Rvd25yZXYueG1s&#10;UEsBAhQAFAAAAAgAh07iQPCgLcmnAQAALwMAAA4AAAAAAAAAAQAgAAAAPwEAAGRycy9lMm9Eb2Mu&#10;eG1sUEsFBgAAAAAGAAYAWQEAAFgFAAAAAA==&#10;">
                <v:fill on="f" focussize="0,0"/>
                <v:stroke on="f"/>
                <v:imagedata o:title=""/>
                <o:lock v:ext="edit" aspectratio="f"/>
                <v:textbox>
                  <w:txbxContent>
                    <w:p>
                      <w:pPr>
                        <w:spacing w:line="1400" w:lineRule="exact"/>
                        <w:rPr>
                          <w:rFonts w:ascii="文星简小标宋" w:hAnsi="宋体" w:eastAsia="文星简小标宋"/>
                          <w:color w:val="FF0000"/>
                          <w:spacing w:val="-40"/>
                          <w:sz w:val="120"/>
                          <w:szCs w:val="120"/>
                        </w:rPr>
                      </w:pPr>
                      <w:r>
                        <w:rPr>
                          <w:rFonts w:hint="eastAsia" w:ascii="文星简小标宋" w:hAnsi="宋体" w:eastAsia="文星简小标宋"/>
                          <w:bCs/>
                          <w:snapToGrid w:val="0"/>
                          <w:color w:val="FF0000"/>
                          <w:spacing w:val="-40"/>
                          <w:w w:val="70"/>
                          <w:kern w:val="0"/>
                          <w:sz w:val="120"/>
                          <w:szCs w:val="120"/>
                        </w:rPr>
                        <w:t>文</w:t>
                      </w:r>
                      <w:r>
                        <w:rPr>
                          <w:rFonts w:hint="eastAsia" w:ascii="文星简小标宋" w:hAnsi="宋体" w:eastAsia="文星简小标宋"/>
                          <w:bCs/>
                          <w:color w:val="FF0000"/>
                          <w:spacing w:val="-40"/>
                          <w:w w:val="70"/>
                          <w:sz w:val="120"/>
                          <w:szCs w:val="120"/>
                        </w:rPr>
                        <w:t>件</w:t>
                      </w:r>
                    </w:p>
                  </w:txbxContent>
                </v:textbox>
              </v:rect>
            </w:pict>
          </mc:Fallback>
        </mc:AlternateContent>
      </w:r>
      <w:r>
        <w:rPr>
          <w:rFonts w:hint="eastAsia" w:ascii="Times New Roman" w:hAnsi="Times New Roman" w:eastAsia="方正小标宋简体"/>
          <w:snapToGrid w:val="0"/>
          <w:color w:val="FF0000"/>
          <w:spacing w:val="-40"/>
          <w:w w:val="50"/>
          <w:kern w:val="0"/>
          <w:sz w:val="112"/>
          <w:szCs w:val="112"/>
        </w:rPr>
        <w:t>天津市医疗保障局</w:t>
      </w:r>
    </w:p>
    <w:p>
      <w:pPr>
        <w:keepNext w:val="0"/>
        <w:keepLines w:val="0"/>
        <w:pageBreakBefore w:val="0"/>
        <w:widowControl w:val="0"/>
        <w:kinsoku/>
        <w:wordWrap/>
        <w:overflowPunct/>
        <w:topLinePunct w:val="0"/>
        <w:autoSpaceDE/>
        <w:autoSpaceDN/>
        <w:bidi w:val="0"/>
        <w:adjustRightInd w:val="0"/>
        <w:snapToGrid/>
        <w:spacing w:line="1160" w:lineRule="exact"/>
        <w:ind w:left="210" w:leftChars="100" w:right="1359" w:rightChars="647"/>
        <w:jc w:val="distribute"/>
        <w:textAlignment w:val="auto"/>
        <w:rPr>
          <w:rFonts w:hint="eastAsia" w:ascii="Times New Roman" w:hAnsi="Times New Roman" w:eastAsia="方正小标宋简体" w:cs="宋体"/>
          <w:b/>
          <w:color w:val="000000"/>
          <w:sz w:val="44"/>
          <w:szCs w:val="44"/>
          <w:lang w:eastAsia="zh-CN"/>
        </w:rPr>
      </w:pPr>
      <w:r>
        <w:rPr>
          <w:rFonts w:hint="eastAsia" w:ascii="Times New Roman" w:hAnsi="Times New Roman" w:eastAsia="方正小标宋简体" w:cs="Times New Roman"/>
          <w:snapToGrid w:val="0"/>
          <w:color w:val="FF0000"/>
          <w:spacing w:val="-40"/>
          <w:w w:val="50"/>
          <w:kern w:val="0"/>
          <w:sz w:val="112"/>
          <w:szCs w:val="112"/>
        </w:rPr>
        <w:t>天津市</w:t>
      </w:r>
      <w:r>
        <w:rPr>
          <w:rFonts w:hint="eastAsia" w:ascii="Times New Roman" w:hAnsi="Times New Roman" w:eastAsia="方正小标宋简体" w:cs="Times New Roman"/>
          <w:snapToGrid w:val="0"/>
          <w:color w:val="FF0000"/>
          <w:spacing w:val="-40"/>
          <w:w w:val="50"/>
          <w:kern w:val="0"/>
          <w:sz w:val="112"/>
          <w:szCs w:val="112"/>
          <w:lang w:eastAsia="zh-CN"/>
        </w:rPr>
        <w:t>卫生健康委员会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b/>
          <w:color w:val="000000"/>
          <w:sz w:val="44"/>
          <w:szCs w:val="44"/>
        </w:rPr>
      </w:pPr>
    </w:p>
    <w:p>
      <w:pPr>
        <w:pStyle w:val="11"/>
        <w:ind w:left="0" w:leftChars="0" w:firstLine="0" w:firstLineChars="0"/>
        <w:rPr>
          <w:rFonts w:ascii="Times New Roman" w:hAnsi="Times New Roman"/>
        </w:rPr>
      </w:pPr>
    </w:p>
    <w:p>
      <w:pPr>
        <w:keepNext w:val="0"/>
        <w:keepLines w:val="0"/>
        <w:pageBreakBefore w:val="0"/>
        <w:kinsoku/>
        <w:wordWrap/>
        <w:overflowPunct/>
        <w:topLinePunct w:val="0"/>
        <w:autoSpaceDE/>
        <w:autoSpaceDN/>
        <w:bidi w:val="0"/>
        <w:jc w:val="center"/>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津医保局发〔20</w:t>
      </w:r>
      <w:r>
        <w:rPr>
          <w:rFonts w:hint="eastAsia" w:ascii="Times New Roman" w:hAnsi="Times New Roman" w:eastAsia="仿宋_GB2312"/>
          <w:color w:val="000000"/>
          <w:sz w:val="32"/>
          <w:szCs w:val="32"/>
        </w:rPr>
        <w:t>2</w:t>
      </w:r>
      <w:r>
        <w:rPr>
          <w:rFonts w:hint="eastAsia" w:ascii="Times New Roman" w:hAnsi="Times New Roman" w:eastAsia="仿宋_GB2312"/>
          <w:color w:val="000000"/>
          <w:sz w:val="32"/>
          <w:szCs w:val="32"/>
          <w:lang w:val="en-US" w:eastAsia="zh-CN"/>
        </w:rPr>
        <w:t>3</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lang w:val="en-US" w:eastAsia="zh-CN"/>
        </w:rPr>
        <w:t>78</w:t>
      </w:r>
      <w:r>
        <w:rPr>
          <w:rFonts w:ascii="Times New Roman" w:hAnsi="Times New Roman" w:eastAsia="仿宋_GB2312"/>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ascii="Times New Roman" w:hAnsi="Times New Roman"/>
        </w:rPr>
      </w:pPr>
      <w:r>
        <w:rPr>
          <w:rFonts w:ascii="Times New Roman" w:hAnsi="Times New Roman"/>
        </w:rPr>
        <mc:AlternateContent>
          <mc:Choice Requires="wps">
            <w:drawing>
              <wp:anchor distT="0" distB="0" distL="114300" distR="114300" simplePos="0" relativeHeight="251676672" behindDoc="0" locked="0" layoutInCell="1" allowOverlap="1">
                <wp:simplePos x="0" y="0"/>
                <wp:positionH relativeFrom="column">
                  <wp:posOffset>-17780</wp:posOffset>
                </wp:positionH>
                <wp:positionV relativeFrom="paragraph">
                  <wp:posOffset>66040</wp:posOffset>
                </wp:positionV>
                <wp:extent cx="5652135" cy="0"/>
                <wp:effectExtent l="0" t="12700" r="5715" b="15875"/>
                <wp:wrapNone/>
                <wp:docPr id="6" name="直线 9"/>
                <wp:cNvGraphicFramePr/>
                <a:graphic xmlns:a="http://schemas.openxmlformats.org/drawingml/2006/main">
                  <a:graphicData uri="http://schemas.microsoft.com/office/word/2010/wordprocessingShape">
                    <wps:wsp>
                      <wps:cNvCnPr/>
                      <wps:spPr>
                        <a:xfrm>
                          <a:off x="0" y="0"/>
                          <a:ext cx="5652135" cy="0"/>
                        </a:xfrm>
                        <a:prstGeom prst="line">
                          <a:avLst/>
                        </a:prstGeom>
                        <a:ln w="25400" cap="flat" cmpd="sng">
                          <a:solidFill>
                            <a:srgbClr val="FF0000"/>
                          </a:solidFill>
                          <a:prstDash val="solid"/>
                          <a:headEnd type="none" w="med" len="med"/>
                          <a:tailEnd type="none" w="med" len="med"/>
                        </a:ln>
                        <a:effectLst/>
                      </wps:spPr>
                      <wps:bodyPr upright="true"/>
                    </wps:wsp>
                  </a:graphicData>
                </a:graphic>
              </wp:anchor>
            </w:drawing>
          </mc:Choice>
          <mc:Fallback>
            <w:pict>
              <v:line id="直线 9" o:spid="_x0000_s1026" o:spt="20" style="position:absolute;left:0pt;margin-left:-1.4pt;margin-top:5.2pt;height:0pt;width:445.05pt;z-index:251676672;mso-width-relative:page;mso-height-relative:page;" filled="f" stroked="t" coordsize="21600,21600" o:gfxdata="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Dp&#10;aQFj1QAAAAgBAAAPAAAAAAAAAAEAIAAAADgAAABkcnMvZG93bnJldi54bWxQSwECFAAUAAAACACH&#10;TuJAOCaXHdgBAACfAwAADgAAAAAAAAABACAAAAA6AQAAZHJzL2Uyb0RvYy54bWxQSwUGAAAAAAYA&#10;BgBZAQAAhAUAAAAA&#10;">
                <v:fill on="f" focussize="0,0"/>
                <v:stroke weight="2pt" color="#FF0000" joinstyle="round"/>
                <v:imagedata o:title=""/>
                <o:lock v:ext="edit" aspectratio="f"/>
              </v:line>
            </w:pict>
          </mc:Fallback>
        </mc:AlternateContent>
      </w:r>
    </w:p>
    <w:p>
      <w:pPr>
        <w:pStyle w:val="2"/>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Times New Roman" w:hAnsi="Times New Roman" w:eastAsia="方正小标宋简体" w:cs="方正小标宋简体"/>
          <w:bCs/>
          <w:szCs w:val="44"/>
        </w:rPr>
      </w:pPr>
      <w:bookmarkStart w:id="0" w:name="Bt"/>
      <w:bookmarkEnd w:id="0"/>
      <w:r>
        <w:rPr>
          <w:rFonts w:hint="eastAsia" w:ascii="Times New Roman" w:hAnsi="Times New Roman" w:eastAsia="方正小标宋简体" w:cs="方正小标宋简体"/>
          <w:bCs/>
          <w:szCs w:val="44"/>
        </w:rPr>
        <w:t>市医保局 市卫生健康委关于做好托育机构</w:t>
      </w:r>
    </w:p>
    <w:p>
      <w:pPr>
        <w:pStyle w:val="2"/>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Times New Roman" w:hAnsi="Times New Roman" w:eastAsia="方正小标宋简体" w:cs="方正小标宋简体"/>
          <w:bCs/>
          <w:szCs w:val="44"/>
        </w:rPr>
      </w:pPr>
      <w:r>
        <w:rPr>
          <w:rFonts w:hint="eastAsia" w:ascii="Times New Roman" w:hAnsi="Times New Roman" w:eastAsia="方正小标宋简体" w:cs="方正小标宋简体"/>
          <w:bCs/>
          <w:szCs w:val="44"/>
        </w:rPr>
        <w:t>在托幼儿参加城乡居民基本医疗保险</w:t>
      </w:r>
    </w:p>
    <w:p>
      <w:pPr>
        <w:pStyle w:val="2"/>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Times New Roman" w:hAnsi="Times New Roman" w:eastAsia="方正小标宋简体" w:cs="方正小标宋简体"/>
          <w:bCs/>
          <w:szCs w:val="44"/>
        </w:rPr>
      </w:pPr>
      <w:r>
        <w:rPr>
          <w:rFonts w:hint="eastAsia" w:ascii="Times New Roman" w:hAnsi="Times New Roman" w:eastAsia="方正小标宋简体" w:cs="方正小标宋简体"/>
          <w:bCs/>
          <w:szCs w:val="44"/>
        </w:rPr>
        <w:t>有关工作的通知</w:t>
      </w:r>
    </w:p>
    <w:p>
      <w:pPr>
        <w:keepNext w:val="0"/>
        <w:keepLines w:val="0"/>
        <w:pageBreakBefore w:val="0"/>
        <w:widowControl w:val="0"/>
        <w:kinsoku/>
        <w:wordWrap/>
        <w:overflowPunct/>
        <w:topLinePunct w:val="0"/>
        <w:autoSpaceDE/>
        <w:autoSpaceDN/>
        <w:bidi w:val="0"/>
        <w:adjustRightInd/>
        <w:snapToGrid/>
        <w:spacing w:line="578" w:lineRule="exact"/>
        <w:ind w:left="0" w:firstLine="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firstLine="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各区医保局、卫生健康委；有关单位：</w:t>
      </w:r>
    </w:p>
    <w:p>
      <w:pPr>
        <w:keepNext w:val="0"/>
        <w:keepLines w:val="0"/>
        <w:pageBreakBefore w:val="0"/>
        <w:widowControl w:val="0"/>
        <w:kinsoku/>
        <w:wordWrap/>
        <w:overflowPunct/>
        <w:topLinePunct w:val="0"/>
        <w:autoSpaceDE/>
        <w:autoSpaceDN/>
        <w:bidi w:val="0"/>
        <w:spacing w:line="578" w:lineRule="exact"/>
        <w:textAlignment w:val="auto"/>
        <w:rPr>
          <w:rFonts w:hint="eastAsia" w:ascii="Times New Roman" w:hAnsi="Times New Roman" w:eastAsia="仿宋_GB2312" w:cs="仿宋_GB2312"/>
          <w:color w:val="auto"/>
          <w:sz w:val="32"/>
          <w:szCs w:val="32"/>
          <w:lang w:eastAsia="zh-CN"/>
        </w:rPr>
      </w:pPr>
      <w:r>
        <w:rPr>
          <w:rFonts w:hint="default" w:ascii="Times New Roman" w:hAnsi="Times New Roman" w:eastAsia="仿宋_GB2312" w:cs="仿宋_GB2312"/>
          <w:color w:val="auto"/>
          <w:sz w:val="32"/>
          <w:szCs w:val="32"/>
        </w:rPr>
        <w:t xml:space="preserve">    </w:t>
      </w:r>
      <w:r>
        <w:rPr>
          <w:rFonts w:hint="eastAsia" w:ascii="Times New Roman" w:hAnsi="Times New Roman" w:eastAsia="仿宋_GB2312" w:cs="仿宋_GB2312"/>
          <w:color w:val="auto"/>
          <w:sz w:val="32"/>
          <w:szCs w:val="32"/>
        </w:rPr>
        <w:t>为扎实推进</w:t>
      </w:r>
      <w:r>
        <w:rPr>
          <w:rFonts w:hint="eastAsia" w:ascii="Times New Roman" w:hAnsi="Times New Roman" w:eastAsia="仿宋_GB2312" w:cs="仿宋_GB2312"/>
          <w:color w:val="auto"/>
          <w:sz w:val="32"/>
          <w:szCs w:val="32"/>
          <w:lang w:eastAsia="zh-CN"/>
        </w:rPr>
        <w:t>全民参保</w:t>
      </w:r>
      <w:r>
        <w:rPr>
          <w:rFonts w:hint="eastAsia" w:ascii="Times New Roman" w:hAnsi="Times New Roman" w:eastAsia="仿宋_GB2312" w:cs="仿宋_GB2312"/>
          <w:color w:val="auto"/>
          <w:sz w:val="32"/>
          <w:szCs w:val="32"/>
        </w:rPr>
        <w:t>工作，推动</w:t>
      </w:r>
      <w:r>
        <w:rPr>
          <w:rFonts w:hint="eastAsia" w:ascii="Times New Roman" w:hAnsi="Times New Roman" w:eastAsia="仿宋_GB2312" w:cs="仿宋_GB2312"/>
          <w:color w:val="auto"/>
          <w:sz w:val="32"/>
          <w:szCs w:val="32"/>
          <w:lang w:eastAsia="zh-CN"/>
        </w:rPr>
        <w:t>托育机构在托幼儿</w:t>
      </w:r>
      <w:r>
        <w:rPr>
          <w:rFonts w:hint="eastAsia" w:ascii="Times New Roman" w:hAnsi="Times New Roman" w:eastAsia="仿宋_GB2312" w:cs="仿宋_GB2312"/>
          <w:color w:val="auto"/>
          <w:sz w:val="32"/>
          <w:szCs w:val="32"/>
        </w:rPr>
        <w:t>家长履行为子女办理参保义务，切实维护托育机构</w:t>
      </w:r>
      <w:r>
        <w:rPr>
          <w:rFonts w:hint="eastAsia" w:ascii="Times New Roman" w:hAnsi="Times New Roman" w:eastAsia="仿宋_GB2312" w:cs="仿宋_GB2312"/>
          <w:color w:val="auto"/>
          <w:sz w:val="32"/>
          <w:szCs w:val="32"/>
          <w:lang w:eastAsia="zh-CN"/>
        </w:rPr>
        <w:t>在托</w:t>
      </w:r>
      <w:r>
        <w:rPr>
          <w:rFonts w:hint="eastAsia" w:ascii="Times New Roman" w:hAnsi="Times New Roman" w:eastAsia="仿宋_GB2312" w:cs="仿宋_GB2312"/>
          <w:color w:val="auto"/>
          <w:sz w:val="32"/>
          <w:szCs w:val="32"/>
        </w:rPr>
        <w:t>幼儿医疗保障</w:t>
      </w:r>
      <w:r>
        <w:rPr>
          <w:rFonts w:hint="eastAsia" w:ascii="Times New Roman" w:hAnsi="Times New Roman" w:eastAsia="仿宋_GB2312" w:cs="仿宋_GB2312"/>
          <w:color w:val="auto"/>
          <w:sz w:val="32"/>
          <w:szCs w:val="32"/>
          <w:lang w:eastAsia="zh-CN"/>
        </w:rPr>
        <w:t>合法</w:t>
      </w:r>
      <w:r>
        <w:rPr>
          <w:rFonts w:hint="eastAsia" w:ascii="Times New Roman" w:hAnsi="Times New Roman" w:eastAsia="仿宋_GB2312" w:cs="仿宋_GB2312"/>
          <w:color w:val="auto"/>
          <w:sz w:val="32"/>
          <w:szCs w:val="32"/>
        </w:rPr>
        <w:t>权益，根据《天津市基本医疗保险条例》、《天津市医疗保障发展“十四五”规划》，现就做好本市托育机构</w:t>
      </w:r>
      <w:r>
        <w:rPr>
          <w:rFonts w:hint="eastAsia" w:ascii="Times New Roman" w:hAnsi="Times New Roman" w:eastAsia="仿宋_GB2312" w:cs="仿宋_GB2312"/>
          <w:color w:val="auto"/>
          <w:sz w:val="32"/>
          <w:szCs w:val="32"/>
          <w:lang w:eastAsia="zh-CN"/>
        </w:rPr>
        <w:t>在托</w:t>
      </w:r>
      <w:r>
        <w:rPr>
          <w:rFonts w:hint="eastAsia" w:ascii="Times New Roman" w:hAnsi="Times New Roman" w:eastAsia="仿宋_GB2312" w:cs="仿宋_GB2312"/>
          <w:color w:val="auto"/>
          <w:sz w:val="32"/>
          <w:szCs w:val="32"/>
        </w:rPr>
        <w:t>幼儿参加城乡居民基本医疗保险（以下简称“居民医保</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）有关工作通知如下</w:t>
      </w:r>
      <w:r>
        <w:rPr>
          <w:rFonts w:hint="eastAsia" w:ascii="Times New Roman" w:hAnsi="Times New Roman"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78" w:lineRule="exact"/>
        <w:ind w:left="0" w:firstLine="640" w:firstLineChars="200"/>
        <w:textAlignment w:val="auto"/>
        <w:rPr>
          <w:rFonts w:hint="eastAsia" w:ascii="Times New Roman" w:hAnsi="Times New Roman" w:eastAsia="黑体" w:cs="黑体"/>
          <w:color w:val="auto"/>
          <w:sz w:val="32"/>
          <w:szCs w:val="32"/>
        </w:rPr>
      </w:pPr>
      <w:r>
        <w:rPr>
          <w:rFonts w:hint="eastAsia" w:ascii="Times New Roman" w:hAnsi="Times New Roman" w:eastAsia="黑体" w:cs="黑体"/>
          <w:color w:val="auto"/>
          <w:sz w:val="32"/>
          <w:szCs w:val="32"/>
        </w:rPr>
        <w:t>一、加强组织领导，全面推进</w:t>
      </w:r>
      <w:r>
        <w:rPr>
          <w:rFonts w:hint="eastAsia" w:ascii="Times New Roman" w:hAnsi="Times New Roman" w:eastAsia="黑体" w:cs="黑体"/>
          <w:color w:val="auto"/>
          <w:sz w:val="32"/>
          <w:szCs w:val="32"/>
          <w:lang w:eastAsia="zh-CN"/>
        </w:rPr>
        <w:t>托育机构在托幼儿</w:t>
      </w:r>
      <w:r>
        <w:rPr>
          <w:rFonts w:hint="eastAsia" w:ascii="Times New Roman" w:hAnsi="Times New Roman" w:eastAsia="黑体" w:cs="黑体"/>
          <w:color w:val="auto"/>
          <w:sz w:val="32"/>
          <w:szCs w:val="32"/>
        </w:rPr>
        <w:t>参保工作</w:t>
      </w:r>
    </w:p>
    <w:p>
      <w:pPr>
        <w:keepNext w:val="0"/>
        <w:keepLines w:val="0"/>
        <w:pageBreakBefore w:val="0"/>
        <w:widowControl w:val="0"/>
        <w:kinsoku/>
        <w:wordWrap/>
        <w:overflowPunct/>
        <w:topLinePunct w:val="0"/>
        <w:autoSpaceDE/>
        <w:autoSpaceDN/>
        <w:bidi w:val="0"/>
        <w:spacing w:line="578" w:lineRule="exact"/>
        <w:ind w:left="0" w:firstLine="640" w:firstLineChars="200"/>
        <w:textAlignment w:val="auto"/>
        <w:rPr>
          <w:rFonts w:hint="default" w:ascii="Times New Roman" w:hAnsi="Times New Roman" w:eastAsia="仿宋_GB2312" w:cs="仿宋_GB2312"/>
          <w:color w:val="auto"/>
          <w:sz w:val="32"/>
          <w:szCs w:val="32"/>
        </w:rPr>
        <w:sectPr>
          <w:footerReference r:id="rId3" w:type="default"/>
          <w:footerReference r:id="rId4" w:type="even"/>
          <w:pgSz w:w="11906" w:h="16838"/>
          <w:pgMar w:top="2098" w:right="1474" w:bottom="1984" w:left="1587" w:header="851" w:footer="992" w:gutter="0"/>
          <w:pgNumType w:fmt="numberInDash"/>
          <w:cols w:space="425" w:num="1"/>
          <w:docGrid w:type="lines" w:linePitch="312" w:charSpace="0"/>
        </w:sectPr>
      </w:pPr>
      <w:r>
        <w:rPr>
          <w:rFonts w:hint="eastAsia" w:ascii="Times New Roman" w:hAnsi="Times New Roman" w:eastAsia="仿宋_GB2312" w:cs="仿宋_GB2312"/>
          <w:color w:val="auto"/>
          <w:sz w:val="32"/>
          <w:szCs w:val="32"/>
        </w:rPr>
        <w:t>托育机构幼儿参加基本医保，</w:t>
      </w:r>
      <w:r>
        <w:rPr>
          <w:rFonts w:hint="default" w:ascii="Times New Roman" w:hAnsi="Times New Roman" w:eastAsia="仿宋_GB2312" w:cs="仿宋_GB2312"/>
          <w:color w:val="auto"/>
          <w:sz w:val="32"/>
          <w:szCs w:val="32"/>
        </w:rPr>
        <w:t>事关广大幼儿健康成长和美好</w:t>
      </w:r>
    </w:p>
    <w:p>
      <w:pPr>
        <w:keepNext w:val="0"/>
        <w:keepLines w:val="0"/>
        <w:pageBreakBefore w:val="0"/>
        <w:widowControl w:val="0"/>
        <w:kinsoku/>
        <w:wordWrap/>
        <w:overflowPunct/>
        <w:topLinePunct w:val="0"/>
        <w:autoSpaceDE/>
        <w:autoSpaceDN/>
        <w:bidi w:val="0"/>
        <w:spacing w:line="578" w:lineRule="exact"/>
        <w:textAlignment w:val="auto"/>
        <w:rPr>
          <w:rFonts w:hint="eastAsia" w:ascii="Times New Roman" w:hAnsi="Times New Roman" w:eastAsia="仿宋_GB2312" w:cs="仿宋_GB2312"/>
          <w:color w:val="auto"/>
          <w:sz w:val="32"/>
          <w:szCs w:val="32"/>
        </w:rPr>
      </w:pPr>
      <w:r>
        <w:rPr>
          <w:rFonts w:hint="default" w:ascii="Times New Roman" w:hAnsi="Times New Roman" w:eastAsia="仿宋_GB2312" w:cs="仿宋_GB2312"/>
          <w:color w:val="auto"/>
          <w:sz w:val="32"/>
          <w:szCs w:val="32"/>
        </w:rPr>
        <w:t>未来，</w:t>
      </w:r>
      <w:r>
        <w:rPr>
          <w:rFonts w:hint="eastAsia" w:ascii="Times New Roman" w:hAnsi="Times New Roman" w:eastAsia="仿宋_GB2312" w:cs="仿宋_GB2312"/>
          <w:color w:val="auto"/>
          <w:sz w:val="32"/>
          <w:szCs w:val="32"/>
        </w:rPr>
        <w:t>是实现</w:t>
      </w:r>
      <w:r>
        <w:rPr>
          <w:rFonts w:hint="eastAsia" w:ascii="Times New Roman" w:hAnsi="Times New Roman" w:eastAsia="仿宋_GB2312" w:cs="仿宋_GB2312"/>
          <w:color w:val="auto"/>
          <w:sz w:val="32"/>
          <w:szCs w:val="32"/>
          <w:lang w:eastAsia="zh-CN"/>
        </w:rPr>
        <w:t>“医有所保”的</w:t>
      </w:r>
      <w:r>
        <w:rPr>
          <w:rFonts w:hint="eastAsia" w:ascii="Times New Roman" w:hAnsi="Times New Roman" w:eastAsia="仿宋_GB2312" w:cs="仿宋_GB2312"/>
          <w:color w:val="auto"/>
          <w:sz w:val="32"/>
          <w:szCs w:val="32"/>
        </w:rPr>
        <w:t>前提和基础，是落实</w:t>
      </w:r>
      <w:r>
        <w:rPr>
          <w:rFonts w:hint="default"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rPr>
        <w:t>天津市儿童发展“十四五”规划</w:t>
      </w:r>
      <w:r>
        <w:rPr>
          <w:rFonts w:hint="default" w:ascii="Times New Roman" w:hAnsi="Times New Roman" w:eastAsia="仿宋_GB2312" w:cs="仿宋_GB2312"/>
          <w:color w:val="auto"/>
          <w:sz w:val="32"/>
          <w:szCs w:val="32"/>
        </w:rPr>
        <w:t>》有关</w:t>
      </w:r>
      <w:r>
        <w:rPr>
          <w:rFonts w:hint="eastAsia" w:ascii="Times New Roman" w:hAnsi="Times New Roman" w:eastAsia="仿宋_GB2312" w:cs="仿宋_GB2312"/>
          <w:color w:val="auto"/>
          <w:sz w:val="32"/>
          <w:szCs w:val="32"/>
        </w:rPr>
        <w:t>要求，实施健康儿童行动计划有效举措，对保障托育机构幼儿就医权益和健康水平具有重要意义。各区医疗保障、卫生健康部门要高度重视，充分认识实施全民参保</w:t>
      </w:r>
      <w:r>
        <w:rPr>
          <w:rFonts w:hint="eastAsia" w:ascii="Times New Roman" w:hAnsi="Times New Roman" w:eastAsia="仿宋_GB2312" w:cs="仿宋_GB2312"/>
          <w:color w:val="auto"/>
          <w:sz w:val="32"/>
          <w:szCs w:val="32"/>
          <w:lang w:eastAsia="zh-CN"/>
        </w:rPr>
        <w:t>、全民医保</w:t>
      </w:r>
      <w:r>
        <w:rPr>
          <w:rFonts w:hint="eastAsia" w:ascii="Times New Roman" w:hAnsi="Times New Roman" w:eastAsia="仿宋_GB2312" w:cs="仿宋_GB2312"/>
          <w:color w:val="auto"/>
          <w:sz w:val="32"/>
          <w:szCs w:val="32"/>
        </w:rPr>
        <w:t>的重要</w:t>
      </w:r>
      <w:r>
        <w:rPr>
          <w:rFonts w:hint="eastAsia" w:ascii="Times New Roman" w:hAnsi="Times New Roman" w:eastAsia="仿宋_GB2312" w:cs="仿宋_GB2312"/>
          <w:color w:val="auto"/>
          <w:sz w:val="32"/>
          <w:szCs w:val="32"/>
          <w:lang w:eastAsia="zh-CN"/>
        </w:rPr>
        <w:t>意义，</w:t>
      </w:r>
      <w:r>
        <w:rPr>
          <w:rFonts w:hint="eastAsia" w:ascii="Times New Roman" w:hAnsi="Times New Roman" w:eastAsia="仿宋_GB2312" w:cs="仿宋_GB2312"/>
          <w:color w:val="auto"/>
          <w:sz w:val="32"/>
          <w:szCs w:val="32"/>
        </w:rPr>
        <w:t>加强动员，统筹兼顾，组织做好辖区内托育机构在托幼儿参加基本医保宣传发动和参保缴费工作，保障托育机构</w:t>
      </w:r>
      <w:r>
        <w:rPr>
          <w:rFonts w:hint="eastAsia" w:ascii="Times New Roman" w:hAnsi="Times New Roman" w:eastAsia="仿宋_GB2312" w:cs="仿宋_GB2312"/>
          <w:color w:val="auto"/>
          <w:sz w:val="32"/>
          <w:szCs w:val="32"/>
          <w:lang w:eastAsia="zh-CN"/>
        </w:rPr>
        <w:t>在托</w:t>
      </w:r>
      <w:r>
        <w:rPr>
          <w:rFonts w:hint="eastAsia" w:ascii="Times New Roman" w:hAnsi="Times New Roman" w:eastAsia="仿宋_GB2312" w:cs="仿宋_GB2312"/>
          <w:color w:val="auto"/>
          <w:sz w:val="32"/>
          <w:szCs w:val="32"/>
        </w:rPr>
        <w:t>幼儿基本医疗需求。</w:t>
      </w:r>
    </w:p>
    <w:p>
      <w:pPr>
        <w:keepNext w:val="0"/>
        <w:keepLines w:val="0"/>
        <w:pageBreakBefore w:val="0"/>
        <w:widowControl w:val="0"/>
        <w:kinsoku/>
        <w:wordWrap/>
        <w:overflowPunct/>
        <w:topLinePunct w:val="0"/>
        <w:autoSpaceDE/>
        <w:autoSpaceDN/>
        <w:bidi w:val="0"/>
        <w:spacing w:line="578" w:lineRule="exact"/>
        <w:ind w:left="0" w:firstLine="640" w:firstLineChars="200"/>
        <w:textAlignment w:val="auto"/>
        <w:rPr>
          <w:rFonts w:hint="eastAsia" w:ascii="Times New Roman" w:hAnsi="Times New Roman" w:eastAsia="黑体" w:cs="黑体"/>
          <w:color w:val="auto"/>
          <w:sz w:val="32"/>
          <w:szCs w:val="32"/>
          <w:lang w:val="en-US" w:eastAsia="zh-CN"/>
        </w:rPr>
      </w:pPr>
      <w:r>
        <w:rPr>
          <w:rFonts w:hint="eastAsia" w:ascii="Times New Roman" w:hAnsi="Times New Roman" w:eastAsia="黑体" w:cs="黑体"/>
          <w:color w:val="auto"/>
          <w:sz w:val="32"/>
          <w:szCs w:val="32"/>
        </w:rPr>
        <w:t>二、落实参保政策，</w:t>
      </w:r>
      <w:r>
        <w:rPr>
          <w:rFonts w:hint="eastAsia" w:ascii="Times New Roman" w:hAnsi="Times New Roman" w:eastAsia="黑体" w:cs="黑体"/>
          <w:color w:val="auto"/>
          <w:sz w:val="32"/>
          <w:szCs w:val="32"/>
          <w:lang w:eastAsia="zh-CN"/>
        </w:rPr>
        <w:t>增强</w:t>
      </w:r>
      <w:r>
        <w:rPr>
          <w:rFonts w:hint="eastAsia" w:ascii="Times New Roman" w:hAnsi="Times New Roman" w:eastAsia="黑体" w:cs="黑体"/>
          <w:color w:val="auto"/>
          <w:sz w:val="32"/>
          <w:szCs w:val="32"/>
        </w:rPr>
        <w:t>托育机构</w:t>
      </w:r>
      <w:r>
        <w:rPr>
          <w:rFonts w:hint="eastAsia" w:ascii="Times New Roman" w:hAnsi="Times New Roman" w:eastAsia="黑体" w:cs="黑体"/>
          <w:color w:val="auto"/>
          <w:sz w:val="32"/>
          <w:szCs w:val="32"/>
          <w:lang w:eastAsia="zh-CN"/>
        </w:rPr>
        <w:t>在托</w:t>
      </w:r>
      <w:r>
        <w:rPr>
          <w:rFonts w:hint="eastAsia" w:ascii="Times New Roman" w:hAnsi="Times New Roman" w:eastAsia="黑体" w:cs="黑体"/>
          <w:color w:val="auto"/>
          <w:sz w:val="32"/>
          <w:szCs w:val="32"/>
        </w:rPr>
        <w:t>幼儿参保</w:t>
      </w:r>
      <w:r>
        <w:rPr>
          <w:rFonts w:hint="eastAsia" w:ascii="Times New Roman" w:hAnsi="Times New Roman" w:eastAsia="黑体" w:cs="黑体"/>
          <w:color w:val="auto"/>
          <w:sz w:val="32"/>
          <w:szCs w:val="32"/>
          <w:lang w:eastAsia="zh-CN"/>
        </w:rPr>
        <w:t>主动性</w:t>
      </w:r>
    </w:p>
    <w:p>
      <w:pPr>
        <w:keepNext w:val="0"/>
        <w:keepLines w:val="0"/>
        <w:pageBreakBefore w:val="0"/>
        <w:widowControl w:val="0"/>
        <w:kinsoku/>
        <w:wordWrap/>
        <w:overflowPunct/>
        <w:topLinePunct w:val="0"/>
        <w:autoSpaceDE/>
        <w:autoSpaceDN/>
        <w:bidi w:val="0"/>
        <w:spacing w:line="578" w:lineRule="exact"/>
        <w:ind w:left="0"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eastAsia="zh-CN"/>
        </w:rPr>
        <w:t>全面</w:t>
      </w:r>
      <w:r>
        <w:rPr>
          <w:rFonts w:hint="eastAsia" w:ascii="Times New Roman" w:hAnsi="Times New Roman" w:eastAsia="仿宋_GB2312" w:cs="仿宋_GB2312"/>
          <w:color w:val="auto"/>
          <w:sz w:val="32"/>
          <w:szCs w:val="32"/>
          <w:lang w:val="en-US" w:eastAsia="zh-CN"/>
        </w:rPr>
        <w:t>落实我市</w:t>
      </w:r>
      <w:r>
        <w:rPr>
          <w:rFonts w:hint="eastAsia" w:ascii="Times New Roman" w:hAnsi="Times New Roman" w:eastAsia="仿宋_GB2312" w:cs="仿宋_GB2312"/>
          <w:color w:val="auto"/>
          <w:sz w:val="32"/>
          <w:szCs w:val="32"/>
          <w:lang w:eastAsia="zh-CN"/>
        </w:rPr>
        <w:t>基本医疗保障领域相关</w:t>
      </w:r>
      <w:r>
        <w:rPr>
          <w:rFonts w:hint="eastAsia" w:ascii="Times New Roman" w:hAnsi="Times New Roman" w:eastAsia="仿宋_GB2312" w:cs="仿宋_GB2312"/>
          <w:color w:val="auto"/>
          <w:sz w:val="32"/>
          <w:szCs w:val="32"/>
          <w:lang w:val="en-US" w:eastAsia="zh-CN"/>
        </w:rPr>
        <w:t>惠民政策，</w:t>
      </w:r>
      <w:r>
        <w:rPr>
          <w:rFonts w:hint="eastAsia" w:ascii="Times New Roman" w:hAnsi="Times New Roman" w:eastAsia="仿宋_GB2312" w:cs="仿宋_GB2312"/>
          <w:color w:val="auto"/>
          <w:sz w:val="32"/>
          <w:szCs w:val="32"/>
          <w:lang w:eastAsia="zh-CN"/>
        </w:rPr>
        <w:t>增强参保吸引力</w:t>
      </w:r>
      <w:r>
        <w:rPr>
          <w:rFonts w:hint="eastAsia" w:ascii="Times New Roman" w:hAnsi="Times New Roman" w:eastAsia="仿宋_GB2312" w:cs="仿宋_GB2312"/>
          <w:color w:val="auto"/>
          <w:sz w:val="32"/>
          <w:szCs w:val="32"/>
          <w:lang w:val="en-US" w:eastAsia="zh-CN"/>
        </w:rPr>
        <w:t>。</w:t>
      </w:r>
      <w:r>
        <w:rPr>
          <w:rFonts w:hint="eastAsia" w:ascii="Times New Roman" w:hAnsi="Times New Roman" w:eastAsia="仿宋_GB2312" w:cs="仿宋_GB2312"/>
          <w:color w:val="auto"/>
          <w:sz w:val="32"/>
          <w:szCs w:val="32"/>
          <w:lang w:eastAsia="zh-CN"/>
        </w:rPr>
        <w:t>实施</w:t>
      </w:r>
      <w:r>
        <w:rPr>
          <w:rFonts w:hint="eastAsia" w:ascii="Times New Roman" w:hAnsi="Times New Roman" w:eastAsia="仿宋_GB2312" w:cs="仿宋_GB2312"/>
          <w:color w:val="auto"/>
          <w:sz w:val="32"/>
          <w:szCs w:val="32"/>
        </w:rPr>
        <w:t>托育机构</w:t>
      </w:r>
      <w:r>
        <w:rPr>
          <w:rFonts w:hint="eastAsia" w:ascii="Times New Roman" w:hAnsi="Times New Roman" w:eastAsia="仿宋_GB2312" w:cs="仿宋_GB2312"/>
          <w:color w:val="auto"/>
          <w:sz w:val="32"/>
          <w:szCs w:val="32"/>
          <w:lang w:eastAsia="zh-CN"/>
        </w:rPr>
        <w:t>在托</w:t>
      </w:r>
      <w:r>
        <w:rPr>
          <w:rFonts w:hint="eastAsia" w:ascii="Times New Roman" w:hAnsi="Times New Roman" w:eastAsia="仿宋_GB2312" w:cs="仿宋_GB2312"/>
          <w:color w:val="auto"/>
          <w:sz w:val="32"/>
          <w:szCs w:val="32"/>
        </w:rPr>
        <w:t>幼儿</w:t>
      </w:r>
      <w:r>
        <w:rPr>
          <w:rFonts w:hint="eastAsia" w:ascii="Times New Roman" w:hAnsi="Times New Roman" w:eastAsia="仿宋_GB2312" w:cs="仿宋_GB2312"/>
          <w:color w:val="auto"/>
          <w:sz w:val="32"/>
          <w:szCs w:val="32"/>
          <w:lang w:val="en-US" w:eastAsia="zh-CN"/>
        </w:rPr>
        <w:t>参</w:t>
      </w:r>
      <w:r>
        <w:rPr>
          <w:rFonts w:hint="eastAsia" w:ascii="Times New Roman" w:hAnsi="Times New Roman" w:eastAsia="仿宋_GB2312" w:cs="仿宋_GB2312"/>
          <w:color w:val="auto"/>
          <w:sz w:val="32"/>
          <w:szCs w:val="32"/>
          <w:lang w:eastAsia="zh-CN"/>
        </w:rPr>
        <w:t>保</w:t>
      </w:r>
      <w:r>
        <w:rPr>
          <w:rFonts w:hint="eastAsia" w:ascii="Times New Roman" w:hAnsi="Times New Roman" w:eastAsia="仿宋_GB2312" w:cs="仿宋_GB2312"/>
          <w:color w:val="auto"/>
          <w:sz w:val="32"/>
          <w:szCs w:val="32"/>
          <w:lang w:val="en-US" w:eastAsia="zh-CN"/>
        </w:rPr>
        <w:t>不受户籍限制政策，</w:t>
      </w:r>
      <w:r>
        <w:rPr>
          <w:rFonts w:hint="eastAsia" w:ascii="Times New Roman" w:hAnsi="Times New Roman" w:eastAsia="仿宋_GB2312" w:cs="仿宋_GB2312"/>
          <w:color w:val="auto"/>
          <w:sz w:val="32"/>
          <w:szCs w:val="32"/>
          <w:lang w:eastAsia="zh-CN"/>
        </w:rPr>
        <w:t>切实落实持居住证参保政策，对于持居住证参加本市居民医保的同等给予财政补助</w:t>
      </w:r>
      <w:r>
        <w:rPr>
          <w:rFonts w:hint="eastAsia" w:ascii="Times New Roman" w:hAnsi="Times New Roman" w:eastAsia="仿宋_GB2312" w:cs="仿宋_GB2312"/>
          <w:color w:val="auto"/>
          <w:sz w:val="32"/>
          <w:szCs w:val="32"/>
          <w:lang w:val="en-US" w:eastAsia="zh-CN"/>
        </w:rPr>
        <w:t>。</w:t>
      </w:r>
      <w:r>
        <w:rPr>
          <w:rFonts w:hint="eastAsia" w:ascii="Times New Roman" w:hAnsi="Times New Roman" w:eastAsia="仿宋_GB2312" w:cs="仿宋_GB2312"/>
          <w:color w:val="auto"/>
          <w:sz w:val="32"/>
          <w:szCs w:val="32"/>
        </w:rPr>
        <w:t>实行托育机构</w:t>
      </w:r>
      <w:r>
        <w:rPr>
          <w:rFonts w:hint="eastAsia" w:ascii="Times New Roman" w:hAnsi="Times New Roman" w:eastAsia="仿宋_GB2312" w:cs="仿宋_GB2312"/>
          <w:color w:val="auto"/>
          <w:sz w:val="32"/>
          <w:szCs w:val="32"/>
          <w:lang w:eastAsia="zh-CN"/>
        </w:rPr>
        <w:t>在托幼儿统一在</w:t>
      </w:r>
      <w:r>
        <w:rPr>
          <w:rFonts w:hint="eastAsia" w:ascii="Times New Roman" w:hAnsi="Times New Roman" w:eastAsia="仿宋_GB2312" w:cs="仿宋_GB2312"/>
          <w:color w:val="auto"/>
          <w:sz w:val="32"/>
          <w:szCs w:val="32"/>
        </w:rPr>
        <w:t>常住地参保政策。</w:t>
      </w:r>
      <w:r>
        <w:rPr>
          <w:rFonts w:hint="eastAsia" w:ascii="Times New Roman" w:hAnsi="Times New Roman" w:eastAsia="仿宋_GB2312" w:cs="仿宋_GB2312"/>
          <w:color w:val="auto"/>
          <w:sz w:val="32"/>
          <w:szCs w:val="32"/>
          <w:lang w:eastAsia="zh-CN"/>
        </w:rPr>
        <w:t>实施</w:t>
      </w:r>
      <w:r>
        <w:rPr>
          <w:rFonts w:hint="eastAsia" w:ascii="Times New Roman" w:hAnsi="Times New Roman" w:eastAsia="仿宋_GB2312" w:cs="仿宋_GB2312"/>
          <w:color w:val="auto"/>
          <w:sz w:val="32"/>
          <w:szCs w:val="32"/>
        </w:rPr>
        <w:t>托育机构</w:t>
      </w:r>
      <w:r>
        <w:rPr>
          <w:rFonts w:hint="eastAsia" w:ascii="Times New Roman" w:hAnsi="Times New Roman" w:eastAsia="仿宋_GB2312" w:cs="仿宋_GB2312"/>
          <w:color w:val="auto"/>
          <w:sz w:val="32"/>
          <w:szCs w:val="32"/>
          <w:lang w:eastAsia="zh-CN"/>
        </w:rPr>
        <w:t>在托</w:t>
      </w:r>
      <w:r>
        <w:rPr>
          <w:rFonts w:hint="eastAsia" w:ascii="Times New Roman" w:hAnsi="Times New Roman" w:eastAsia="仿宋_GB2312" w:cs="仿宋_GB2312"/>
          <w:color w:val="auto"/>
          <w:sz w:val="32"/>
          <w:szCs w:val="32"/>
        </w:rPr>
        <w:t>幼儿按照低档个人缴费标准参保缴费，享受高档缴费报销待遇。</w:t>
      </w:r>
      <w:r>
        <w:rPr>
          <w:rFonts w:hint="eastAsia" w:ascii="Times New Roman" w:hAnsi="Times New Roman" w:eastAsia="仿宋_GB2312" w:cs="仿宋_GB2312"/>
          <w:color w:val="auto"/>
          <w:sz w:val="32"/>
          <w:szCs w:val="32"/>
          <w:lang w:eastAsia="zh-CN"/>
        </w:rPr>
        <w:t>同时对</w:t>
      </w:r>
      <w:r>
        <w:rPr>
          <w:rFonts w:hint="eastAsia" w:ascii="Times New Roman" w:hAnsi="Times New Roman" w:eastAsia="仿宋_GB2312" w:cs="仿宋_GB2312"/>
          <w:color w:val="auto"/>
          <w:sz w:val="32"/>
          <w:szCs w:val="32"/>
        </w:rPr>
        <w:t>未参加</w:t>
      </w:r>
      <w:r>
        <w:rPr>
          <w:rFonts w:hint="eastAsia" w:ascii="Times New Roman" w:hAnsi="Times New Roman" w:eastAsia="仿宋_GB2312" w:cs="仿宋_GB2312"/>
          <w:color w:val="auto"/>
          <w:sz w:val="32"/>
          <w:szCs w:val="32"/>
          <w:lang w:eastAsia="zh-CN"/>
        </w:rPr>
        <w:t>当年度</w:t>
      </w:r>
      <w:r>
        <w:rPr>
          <w:rFonts w:hint="eastAsia" w:ascii="Times New Roman" w:hAnsi="Times New Roman" w:eastAsia="仿宋_GB2312" w:cs="仿宋_GB2312"/>
          <w:color w:val="auto"/>
          <w:sz w:val="32"/>
          <w:szCs w:val="32"/>
        </w:rPr>
        <w:t>居民医保的新入托</w:t>
      </w:r>
      <w:r>
        <w:rPr>
          <w:rFonts w:hint="eastAsia" w:ascii="Times New Roman" w:hAnsi="Times New Roman" w:eastAsia="仿宋_GB2312" w:cs="仿宋_GB2312"/>
          <w:color w:val="auto"/>
          <w:sz w:val="32"/>
          <w:szCs w:val="32"/>
          <w:lang w:eastAsia="zh-CN"/>
        </w:rPr>
        <w:t>幼儿</w:t>
      </w:r>
      <w:r>
        <w:rPr>
          <w:rFonts w:hint="eastAsia" w:ascii="Times New Roman" w:hAnsi="Times New Roman" w:eastAsia="仿宋_GB2312" w:cs="仿宋_GB2312"/>
          <w:color w:val="auto"/>
          <w:sz w:val="32"/>
          <w:szCs w:val="32"/>
        </w:rPr>
        <w:t>，在</w:t>
      </w:r>
      <w:r>
        <w:rPr>
          <w:rFonts w:hint="eastAsia" w:ascii="Times New Roman" w:hAnsi="Times New Roman" w:eastAsia="仿宋_GB2312" w:cs="仿宋_GB2312"/>
          <w:color w:val="auto"/>
          <w:sz w:val="32"/>
          <w:szCs w:val="32"/>
          <w:lang w:eastAsia="zh-CN"/>
        </w:rPr>
        <w:t>居民医保</w:t>
      </w:r>
      <w:r>
        <w:rPr>
          <w:rFonts w:hint="eastAsia" w:ascii="Times New Roman" w:hAnsi="Times New Roman" w:eastAsia="仿宋_GB2312" w:cs="仿宋_GB2312"/>
          <w:color w:val="auto"/>
          <w:sz w:val="32"/>
          <w:szCs w:val="32"/>
        </w:rPr>
        <w:t>集中申报参保缴费期内</w:t>
      </w:r>
      <w:r>
        <w:rPr>
          <w:rFonts w:hint="eastAsia" w:ascii="Times New Roman" w:hAnsi="Times New Roman" w:eastAsia="仿宋_GB2312" w:cs="仿宋_GB2312"/>
          <w:color w:val="auto"/>
          <w:sz w:val="32"/>
          <w:szCs w:val="32"/>
          <w:lang w:eastAsia="zh-CN"/>
        </w:rPr>
        <w:t>，对</w:t>
      </w:r>
      <w:r>
        <w:rPr>
          <w:rFonts w:hint="eastAsia" w:ascii="Times New Roman" w:hAnsi="Times New Roman" w:eastAsia="仿宋_GB2312" w:cs="仿宋_GB2312"/>
          <w:color w:val="auto"/>
          <w:sz w:val="32"/>
          <w:szCs w:val="32"/>
        </w:rPr>
        <w:t>托育机构</w:t>
      </w:r>
      <w:r>
        <w:rPr>
          <w:rFonts w:hint="default"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eastAsia="zh-CN"/>
        </w:rPr>
        <w:t>有法人主体</w:t>
      </w:r>
      <w:r>
        <w:rPr>
          <w:rFonts w:hint="default"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rPr>
        <w:t>为单位办理</w:t>
      </w:r>
      <w:r>
        <w:rPr>
          <w:rFonts w:hint="eastAsia" w:ascii="Times New Roman" w:hAnsi="Times New Roman" w:eastAsia="仿宋_GB2312" w:cs="仿宋_GB2312"/>
          <w:color w:val="auto"/>
          <w:sz w:val="32"/>
          <w:szCs w:val="32"/>
          <w:lang w:eastAsia="zh-CN"/>
        </w:rPr>
        <w:t>下一</w:t>
      </w:r>
      <w:r>
        <w:rPr>
          <w:rFonts w:hint="eastAsia" w:ascii="Times New Roman" w:hAnsi="Times New Roman" w:eastAsia="仿宋_GB2312" w:cs="仿宋_GB2312"/>
          <w:color w:val="auto"/>
          <w:sz w:val="32"/>
          <w:szCs w:val="32"/>
        </w:rPr>
        <w:t>年度居民医保参保缴费的，享受</w:t>
      </w:r>
      <w:r>
        <w:rPr>
          <w:rFonts w:hint="eastAsia" w:ascii="Times New Roman" w:hAnsi="Times New Roman" w:eastAsia="仿宋_GB2312" w:cs="仿宋_GB2312"/>
          <w:color w:val="auto"/>
          <w:sz w:val="32"/>
          <w:szCs w:val="32"/>
          <w:lang w:eastAsia="zh-CN"/>
        </w:rPr>
        <w:t>当年度</w:t>
      </w:r>
      <w:r>
        <w:rPr>
          <w:rFonts w:hint="eastAsia" w:ascii="Times New Roman" w:hAnsi="Times New Roman" w:eastAsia="仿宋_GB2312" w:cs="仿宋_GB2312"/>
          <w:color w:val="auto"/>
          <w:sz w:val="32"/>
          <w:szCs w:val="32"/>
        </w:rPr>
        <w:t>9月1日至12月31日及</w:t>
      </w:r>
      <w:r>
        <w:rPr>
          <w:rFonts w:hint="eastAsia" w:ascii="Times New Roman" w:hAnsi="Times New Roman" w:eastAsia="仿宋_GB2312" w:cs="仿宋_GB2312"/>
          <w:color w:val="auto"/>
          <w:sz w:val="32"/>
          <w:szCs w:val="32"/>
          <w:lang w:eastAsia="zh-CN"/>
        </w:rPr>
        <w:t>下一年度</w:t>
      </w:r>
      <w:r>
        <w:rPr>
          <w:rFonts w:hint="eastAsia" w:ascii="Times New Roman" w:hAnsi="Times New Roman" w:eastAsia="仿宋_GB2312" w:cs="仿宋_GB2312"/>
          <w:color w:val="auto"/>
          <w:sz w:val="32"/>
          <w:szCs w:val="32"/>
        </w:rPr>
        <w:t>居民医保待遇。</w:t>
      </w:r>
    </w:p>
    <w:p>
      <w:pPr>
        <w:keepNext w:val="0"/>
        <w:keepLines w:val="0"/>
        <w:pageBreakBefore w:val="0"/>
        <w:widowControl w:val="0"/>
        <w:kinsoku/>
        <w:wordWrap/>
        <w:overflowPunct/>
        <w:topLinePunct w:val="0"/>
        <w:autoSpaceDE/>
        <w:autoSpaceDN/>
        <w:bidi w:val="0"/>
        <w:spacing w:line="578" w:lineRule="exact"/>
        <w:ind w:left="0" w:firstLine="640" w:firstLineChars="200"/>
        <w:textAlignment w:val="auto"/>
        <w:rPr>
          <w:rFonts w:hint="eastAsia" w:ascii="Times New Roman" w:hAnsi="Times New Roman" w:eastAsia="黑体" w:cs="黑体"/>
          <w:color w:val="auto"/>
          <w:sz w:val="32"/>
          <w:szCs w:val="32"/>
        </w:rPr>
      </w:pPr>
      <w:r>
        <w:rPr>
          <w:rFonts w:hint="eastAsia" w:ascii="Times New Roman" w:hAnsi="Times New Roman" w:eastAsia="黑体" w:cs="黑体"/>
          <w:color w:val="auto"/>
          <w:sz w:val="32"/>
          <w:szCs w:val="32"/>
        </w:rPr>
        <w:t>三、</w:t>
      </w:r>
      <w:r>
        <w:rPr>
          <w:rFonts w:hint="eastAsia" w:ascii="Times New Roman" w:hAnsi="Times New Roman" w:eastAsia="黑体" w:cs="黑体"/>
          <w:color w:val="auto"/>
          <w:sz w:val="32"/>
          <w:szCs w:val="32"/>
          <w:lang w:eastAsia="zh-CN"/>
        </w:rPr>
        <w:t>加强部门协作</w:t>
      </w:r>
      <w:r>
        <w:rPr>
          <w:rFonts w:hint="eastAsia" w:ascii="Times New Roman" w:hAnsi="Times New Roman" w:eastAsia="黑体" w:cs="黑体"/>
          <w:color w:val="auto"/>
          <w:sz w:val="32"/>
          <w:szCs w:val="32"/>
        </w:rPr>
        <w:t>，形成</w:t>
      </w:r>
      <w:r>
        <w:rPr>
          <w:rFonts w:hint="eastAsia" w:ascii="Times New Roman" w:hAnsi="Times New Roman" w:eastAsia="黑体" w:cs="黑体"/>
          <w:color w:val="auto"/>
          <w:sz w:val="32"/>
          <w:szCs w:val="32"/>
          <w:lang w:eastAsia="zh-CN"/>
        </w:rPr>
        <w:t>托育机构在托幼儿</w:t>
      </w:r>
      <w:r>
        <w:rPr>
          <w:rFonts w:hint="eastAsia" w:ascii="Times New Roman" w:hAnsi="Times New Roman" w:eastAsia="黑体" w:cs="黑体"/>
          <w:color w:val="auto"/>
          <w:sz w:val="32"/>
          <w:szCs w:val="32"/>
        </w:rPr>
        <w:t>参保工作合力</w:t>
      </w:r>
    </w:p>
    <w:p>
      <w:pPr>
        <w:keepNext w:val="0"/>
        <w:keepLines w:val="0"/>
        <w:pageBreakBefore w:val="0"/>
        <w:widowControl w:val="0"/>
        <w:kinsoku/>
        <w:wordWrap/>
        <w:overflowPunct/>
        <w:topLinePunct w:val="0"/>
        <w:autoSpaceDE/>
        <w:autoSpaceDN/>
        <w:bidi w:val="0"/>
        <w:spacing w:line="578" w:lineRule="exact"/>
        <w:ind w:left="0" w:firstLine="640" w:firstLineChars="200"/>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rPr>
        <w:t>各</w:t>
      </w:r>
      <w:r>
        <w:rPr>
          <w:rFonts w:hint="eastAsia" w:ascii="Times New Roman" w:hAnsi="Times New Roman" w:eastAsia="仿宋_GB2312" w:cs="仿宋_GB2312"/>
          <w:color w:val="auto"/>
          <w:sz w:val="32"/>
          <w:szCs w:val="32"/>
          <w:lang w:eastAsia="zh-CN"/>
        </w:rPr>
        <w:t>区</w:t>
      </w:r>
      <w:r>
        <w:rPr>
          <w:rFonts w:hint="eastAsia" w:ascii="Times New Roman" w:hAnsi="Times New Roman" w:eastAsia="仿宋_GB2312" w:cs="仿宋_GB2312"/>
          <w:color w:val="auto"/>
          <w:sz w:val="32"/>
          <w:szCs w:val="32"/>
        </w:rPr>
        <w:t>医保、卫生健康部门要加强工作联动和信息沟通，</w:t>
      </w:r>
      <w:r>
        <w:rPr>
          <w:rFonts w:hint="eastAsia" w:ascii="Times New Roman" w:hAnsi="Times New Roman" w:eastAsia="仿宋_GB2312" w:cs="仿宋_GB2312"/>
          <w:color w:val="auto"/>
          <w:sz w:val="32"/>
          <w:szCs w:val="32"/>
          <w:lang w:eastAsia="zh-CN"/>
        </w:rPr>
        <w:t>要</w:t>
      </w:r>
      <w:r>
        <w:rPr>
          <w:rFonts w:hint="eastAsia" w:ascii="Times New Roman" w:hAnsi="Times New Roman" w:eastAsia="仿宋_GB2312" w:cs="仿宋_GB2312"/>
          <w:color w:val="auto"/>
          <w:sz w:val="32"/>
          <w:szCs w:val="32"/>
        </w:rPr>
        <w:t>建立常态化信息共享</w:t>
      </w:r>
      <w:r>
        <w:rPr>
          <w:rFonts w:hint="eastAsia" w:ascii="Times New Roman" w:hAnsi="Times New Roman" w:eastAsia="仿宋_GB2312" w:cs="仿宋_GB2312"/>
          <w:color w:val="auto"/>
          <w:sz w:val="32"/>
          <w:szCs w:val="32"/>
          <w:lang w:eastAsia="zh-CN"/>
        </w:rPr>
        <w:t>和</w:t>
      </w:r>
      <w:r>
        <w:rPr>
          <w:rFonts w:hint="eastAsia" w:ascii="Times New Roman" w:hAnsi="Times New Roman" w:eastAsia="仿宋_GB2312" w:cs="仿宋_GB2312"/>
          <w:color w:val="auto"/>
          <w:sz w:val="32"/>
          <w:szCs w:val="32"/>
        </w:rPr>
        <w:t>比对机制，</w:t>
      </w:r>
      <w:r>
        <w:rPr>
          <w:rFonts w:hint="eastAsia" w:ascii="Times New Roman" w:hAnsi="Times New Roman" w:eastAsia="仿宋_GB2312" w:cs="仿宋_GB2312"/>
          <w:color w:val="auto"/>
          <w:sz w:val="32"/>
          <w:szCs w:val="32"/>
          <w:lang w:eastAsia="zh-CN"/>
        </w:rPr>
        <w:t>定期</w:t>
      </w:r>
      <w:r>
        <w:rPr>
          <w:rFonts w:hint="eastAsia" w:ascii="Times New Roman" w:hAnsi="Times New Roman" w:eastAsia="仿宋_GB2312" w:cs="仿宋_GB2312"/>
          <w:color w:val="auto"/>
          <w:sz w:val="32"/>
          <w:szCs w:val="32"/>
        </w:rPr>
        <w:t>比对</w:t>
      </w:r>
      <w:r>
        <w:rPr>
          <w:rFonts w:hint="eastAsia" w:ascii="Times New Roman" w:hAnsi="Times New Roman" w:eastAsia="仿宋_GB2312" w:cs="仿宋_GB2312"/>
          <w:color w:val="auto"/>
          <w:sz w:val="32"/>
          <w:szCs w:val="32"/>
          <w:lang w:eastAsia="zh-CN"/>
        </w:rPr>
        <w:t>辖区托育机构及在托幼儿人数</w:t>
      </w:r>
      <w:r>
        <w:rPr>
          <w:rFonts w:hint="eastAsia" w:ascii="Times New Roman" w:hAnsi="Times New Roman" w:eastAsia="仿宋_GB2312" w:cs="仿宋_GB2312"/>
          <w:color w:val="auto"/>
          <w:sz w:val="32"/>
          <w:szCs w:val="32"/>
        </w:rPr>
        <w:t>和参保信息，掌握</w:t>
      </w:r>
      <w:r>
        <w:rPr>
          <w:rFonts w:hint="eastAsia" w:ascii="Times New Roman" w:hAnsi="Times New Roman" w:eastAsia="仿宋_GB2312" w:cs="仿宋_GB2312"/>
          <w:color w:val="auto"/>
          <w:sz w:val="32"/>
          <w:szCs w:val="32"/>
          <w:lang w:eastAsia="zh-CN"/>
        </w:rPr>
        <w:t>在托幼儿</w:t>
      </w:r>
      <w:r>
        <w:rPr>
          <w:rFonts w:hint="eastAsia" w:ascii="Times New Roman" w:hAnsi="Times New Roman" w:eastAsia="仿宋_GB2312" w:cs="仿宋_GB2312"/>
          <w:color w:val="auto"/>
          <w:sz w:val="32"/>
          <w:szCs w:val="32"/>
        </w:rPr>
        <w:t>参保情况。</w:t>
      </w:r>
      <w:r>
        <w:rPr>
          <w:rFonts w:hint="eastAsia" w:ascii="Times New Roman" w:hAnsi="Times New Roman" w:eastAsia="仿宋_GB2312" w:cs="仿宋_GB2312"/>
          <w:color w:val="auto"/>
          <w:sz w:val="32"/>
          <w:szCs w:val="32"/>
          <w:lang w:eastAsia="zh-CN"/>
        </w:rPr>
        <w:t>要</w:t>
      </w:r>
      <w:r>
        <w:rPr>
          <w:rFonts w:hint="eastAsia" w:ascii="Times New Roman" w:hAnsi="Times New Roman" w:eastAsia="仿宋_GB2312" w:cs="仿宋_GB2312"/>
          <w:color w:val="auto"/>
          <w:sz w:val="32"/>
          <w:szCs w:val="32"/>
        </w:rPr>
        <w:t>建立区医保和卫生健康</w:t>
      </w:r>
      <w:r>
        <w:rPr>
          <w:rFonts w:hint="eastAsia" w:ascii="Times New Roman" w:hAnsi="Times New Roman" w:eastAsia="仿宋_GB2312" w:cs="仿宋_GB2312"/>
          <w:color w:val="auto"/>
          <w:sz w:val="32"/>
          <w:szCs w:val="32"/>
          <w:lang w:eastAsia="zh-CN"/>
        </w:rPr>
        <w:t>部门双方</w:t>
      </w:r>
      <w:r>
        <w:rPr>
          <w:rFonts w:hint="eastAsia" w:ascii="Times New Roman" w:hAnsi="Times New Roman" w:eastAsia="仿宋_GB2312" w:cs="仿宋_GB2312"/>
          <w:color w:val="auto"/>
          <w:sz w:val="32"/>
          <w:szCs w:val="32"/>
        </w:rPr>
        <w:t>联席会议制度，医保部门通报</w:t>
      </w:r>
      <w:r>
        <w:rPr>
          <w:rFonts w:hint="eastAsia" w:ascii="Times New Roman" w:hAnsi="Times New Roman" w:eastAsia="仿宋_GB2312" w:cs="仿宋_GB2312"/>
          <w:color w:val="auto"/>
          <w:sz w:val="32"/>
          <w:szCs w:val="32"/>
          <w:lang w:eastAsia="zh-CN"/>
        </w:rPr>
        <w:t>托育机构</w:t>
      </w:r>
      <w:r>
        <w:rPr>
          <w:rFonts w:hint="eastAsia" w:ascii="Times New Roman" w:hAnsi="Times New Roman" w:eastAsia="仿宋_GB2312" w:cs="仿宋_GB2312"/>
          <w:color w:val="auto"/>
          <w:sz w:val="32"/>
          <w:szCs w:val="32"/>
        </w:rPr>
        <w:t>参保进度，共同分析问题，研究解决办法，形成齐抓共管、整体联动。</w:t>
      </w:r>
      <w:r>
        <w:rPr>
          <w:rFonts w:hint="default" w:ascii="Times New Roman" w:hAnsi="Times New Roman" w:eastAsia="仿宋_GB2312" w:cs="仿宋_GB2312"/>
          <w:color w:val="auto"/>
          <w:sz w:val="32"/>
          <w:szCs w:val="32"/>
        </w:rPr>
        <w:t>各区医保部门</w:t>
      </w:r>
      <w:r>
        <w:rPr>
          <w:rFonts w:hint="eastAsia" w:ascii="Times New Roman" w:hAnsi="Times New Roman" w:eastAsia="仿宋_GB2312" w:cs="仿宋_GB2312"/>
          <w:color w:val="auto"/>
          <w:sz w:val="32"/>
          <w:szCs w:val="32"/>
          <w:lang w:eastAsia="zh-CN"/>
        </w:rPr>
        <w:t>要</w:t>
      </w:r>
      <w:r>
        <w:rPr>
          <w:rFonts w:hint="eastAsia" w:ascii="Times New Roman" w:hAnsi="Times New Roman" w:eastAsia="仿宋_GB2312" w:cs="仿宋_GB2312"/>
          <w:color w:val="auto"/>
          <w:sz w:val="32"/>
          <w:szCs w:val="32"/>
        </w:rPr>
        <w:t>加强对</w:t>
      </w:r>
      <w:r>
        <w:rPr>
          <w:rFonts w:hint="eastAsia" w:ascii="Times New Roman" w:hAnsi="Times New Roman" w:eastAsia="仿宋_GB2312" w:cs="仿宋_GB2312"/>
          <w:color w:val="auto"/>
          <w:sz w:val="32"/>
          <w:szCs w:val="32"/>
          <w:lang w:eastAsia="zh-CN"/>
        </w:rPr>
        <w:t>辖区托育机构</w:t>
      </w:r>
      <w:r>
        <w:rPr>
          <w:rFonts w:hint="default" w:ascii="Times New Roman" w:hAnsi="Times New Roman" w:eastAsia="仿宋_GB2312" w:cs="仿宋_GB2312"/>
          <w:color w:val="auto"/>
          <w:sz w:val="32"/>
          <w:szCs w:val="32"/>
          <w:lang w:eastAsia="zh-CN"/>
        </w:rPr>
        <w:t>分布、在托幼儿</w:t>
      </w:r>
      <w:r>
        <w:rPr>
          <w:rFonts w:hint="eastAsia" w:ascii="Times New Roman" w:hAnsi="Times New Roman" w:eastAsia="仿宋_GB2312" w:cs="仿宋_GB2312"/>
          <w:color w:val="auto"/>
          <w:sz w:val="32"/>
          <w:szCs w:val="32"/>
        </w:rPr>
        <w:t>参保</w:t>
      </w:r>
      <w:r>
        <w:rPr>
          <w:rFonts w:hint="default" w:ascii="Times New Roman" w:hAnsi="Times New Roman" w:eastAsia="仿宋_GB2312" w:cs="仿宋_GB2312"/>
          <w:color w:val="auto"/>
          <w:sz w:val="32"/>
          <w:szCs w:val="32"/>
        </w:rPr>
        <w:t>情况</w:t>
      </w:r>
      <w:r>
        <w:rPr>
          <w:rFonts w:hint="eastAsia" w:ascii="Times New Roman" w:hAnsi="Times New Roman" w:eastAsia="仿宋_GB2312" w:cs="仿宋_GB2312"/>
          <w:color w:val="auto"/>
          <w:sz w:val="32"/>
          <w:szCs w:val="32"/>
        </w:rPr>
        <w:t>的调度，指导、督促托育机构做好在</w:t>
      </w:r>
      <w:r>
        <w:rPr>
          <w:rFonts w:hint="eastAsia" w:ascii="Times New Roman" w:hAnsi="Times New Roman" w:eastAsia="仿宋_GB2312" w:cs="仿宋_GB2312"/>
          <w:color w:val="auto"/>
          <w:sz w:val="32"/>
          <w:szCs w:val="32"/>
          <w:lang w:eastAsia="zh-CN"/>
        </w:rPr>
        <w:t>托幼儿</w:t>
      </w:r>
      <w:r>
        <w:rPr>
          <w:rFonts w:hint="eastAsia" w:ascii="Times New Roman" w:hAnsi="Times New Roman" w:eastAsia="仿宋_GB2312" w:cs="仿宋_GB2312"/>
          <w:color w:val="auto"/>
          <w:sz w:val="32"/>
          <w:szCs w:val="32"/>
        </w:rPr>
        <w:t>参保缴费告知责任</w:t>
      </w:r>
      <w:r>
        <w:rPr>
          <w:rFonts w:hint="default" w:ascii="Times New Roman" w:hAnsi="Times New Roman" w:eastAsia="仿宋_GB2312" w:cs="仿宋_GB2312"/>
          <w:color w:val="auto"/>
          <w:sz w:val="32"/>
          <w:szCs w:val="32"/>
        </w:rPr>
        <w:t>，各区卫生健康部门应予以积极支持和配合。</w:t>
      </w:r>
      <w:r>
        <w:rPr>
          <w:rFonts w:hint="eastAsia" w:ascii="Times New Roman" w:hAnsi="Times New Roman" w:eastAsia="仿宋_GB2312" w:cs="仿宋_GB2312"/>
          <w:color w:val="auto"/>
          <w:sz w:val="32"/>
          <w:szCs w:val="32"/>
          <w:lang w:eastAsia="zh-CN"/>
        </w:rPr>
        <w:t>托育机构</w:t>
      </w:r>
      <w:r>
        <w:rPr>
          <w:rFonts w:hint="eastAsia" w:ascii="Times New Roman" w:hAnsi="Times New Roman" w:eastAsia="仿宋_GB2312" w:cs="仿宋_GB2312"/>
          <w:color w:val="auto"/>
          <w:sz w:val="32"/>
          <w:szCs w:val="32"/>
        </w:rPr>
        <w:t>要明确专人负责</w:t>
      </w:r>
      <w:r>
        <w:rPr>
          <w:rFonts w:hint="eastAsia" w:ascii="Times New Roman" w:hAnsi="Times New Roman" w:eastAsia="仿宋_GB2312" w:cs="仿宋_GB2312"/>
          <w:color w:val="auto"/>
          <w:sz w:val="32"/>
          <w:szCs w:val="32"/>
          <w:lang w:eastAsia="zh-CN"/>
        </w:rPr>
        <w:t>参保工作</w:t>
      </w: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eastAsia="zh-CN"/>
        </w:rPr>
        <w:t>主动</w:t>
      </w:r>
      <w:r>
        <w:rPr>
          <w:rFonts w:hint="eastAsia" w:ascii="Times New Roman" w:hAnsi="Times New Roman" w:eastAsia="仿宋_GB2312" w:cs="仿宋_GB2312"/>
          <w:color w:val="auto"/>
          <w:sz w:val="32"/>
          <w:szCs w:val="32"/>
        </w:rPr>
        <w:t>做好与医保经办机构的对接</w:t>
      </w:r>
      <w:r>
        <w:rPr>
          <w:rFonts w:hint="eastAsia" w:ascii="Times New Roman" w:hAnsi="Times New Roman" w:eastAsia="仿宋_GB2312" w:cs="仿宋_GB2312"/>
          <w:color w:val="auto"/>
          <w:sz w:val="32"/>
          <w:szCs w:val="32"/>
          <w:lang w:eastAsia="zh-CN"/>
        </w:rPr>
        <w:t>，配合医保部门开展</w:t>
      </w:r>
      <w:r>
        <w:rPr>
          <w:rFonts w:hint="eastAsia" w:ascii="Times New Roman" w:hAnsi="Times New Roman" w:eastAsia="仿宋_GB2312" w:cs="仿宋_GB2312"/>
          <w:color w:val="auto"/>
          <w:sz w:val="32"/>
          <w:szCs w:val="32"/>
        </w:rPr>
        <w:t>宣传</w:t>
      </w:r>
      <w:r>
        <w:rPr>
          <w:rFonts w:hint="eastAsia" w:ascii="Times New Roman" w:hAnsi="Times New Roman" w:eastAsia="仿宋_GB2312" w:cs="仿宋_GB2312"/>
          <w:color w:val="auto"/>
          <w:sz w:val="32"/>
          <w:szCs w:val="32"/>
          <w:lang w:eastAsia="zh-CN"/>
        </w:rPr>
        <w:t>动员和业务培训工作</w:t>
      </w:r>
      <w:r>
        <w:rPr>
          <w:rFonts w:hint="eastAsia" w:ascii="Times New Roman" w:hAnsi="Times New Roman"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spacing w:line="578" w:lineRule="exact"/>
        <w:ind w:left="0" w:firstLine="640" w:firstLineChars="200"/>
        <w:textAlignment w:val="auto"/>
        <w:rPr>
          <w:rFonts w:hint="eastAsia" w:ascii="Times New Roman" w:hAnsi="Times New Roman" w:eastAsia="黑体" w:cs="黑体"/>
          <w:color w:val="auto"/>
          <w:sz w:val="32"/>
          <w:szCs w:val="32"/>
          <w:lang w:eastAsia="zh-CN"/>
        </w:rPr>
      </w:pPr>
      <w:r>
        <w:rPr>
          <w:rFonts w:hint="eastAsia" w:ascii="Times New Roman" w:hAnsi="Times New Roman" w:eastAsia="黑体" w:cs="黑体"/>
          <w:color w:val="auto"/>
          <w:sz w:val="32"/>
          <w:szCs w:val="32"/>
          <w:lang w:eastAsia="zh-CN"/>
        </w:rPr>
        <w:t>四、</w:t>
      </w:r>
      <w:r>
        <w:rPr>
          <w:rFonts w:hint="eastAsia" w:ascii="Times New Roman" w:hAnsi="Times New Roman" w:eastAsia="黑体" w:cs="黑体"/>
          <w:color w:val="auto"/>
          <w:sz w:val="32"/>
          <w:szCs w:val="32"/>
        </w:rPr>
        <w:t>强化政策</w:t>
      </w:r>
      <w:r>
        <w:rPr>
          <w:rFonts w:hint="eastAsia" w:ascii="Times New Roman" w:hAnsi="Times New Roman" w:eastAsia="黑体" w:cs="黑体"/>
          <w:color w:val="auto"/>
          <w:sz w:val="32"/>
          <w:szCs w:val="32"/>
          <w:lang w:eastAsia="zh-CN"/>
        </w:rPr>
        <w:t>宣传，实现托育机构在托幼儿应保尽保</w:t>
      </w:r>
    </w:p>
    <w:p>
      <w:pPr>
        <w:keepNext w:val="0"/>
        <w:keepLines w:val="0"/>
        <w:pageBreakBefore w:val="0"/>
        <w:widowControl w:val="0"/>
        <w:kinsoku/>
        <w:wordWrap/>
        <w:overflowPunct/>
        <w:topLinePunct w:val="0"/>
        <w:autoSpaceDE/>
        <w:autoSpaceDN/>
        <w:bidi w:val="0"/>
        <w:spacing w:line="578" w:lineRule="exact"/>
        <w:ind w:left="0"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eastAsia="zh-CN"/>
        </w:rPr>
        <w:t>居民医保制度是党和政府保障和改善民生、增进人民健康福祉的惠民政策，政府对每位居民参保予以财政补贴，</w:t>
      </w:r>
      <w:r>
        <w:rPr>
          <w:rFonts w:hint="eastAsia" w:ascii="Times New Roman" w:hAnsi="Times New Roman" w:eastAsia="仿宋_GB2312" w:cs="仿宋_GB2312"/>
          <w:color w:val="auto"/>
          <w:sz w:val="32"/>
          <w:szCs w:val="32"/>
          <w:lang w:val="en-US" w:eastAsia="zh-CN"/>
        </w:rPr>
        <w:t>政府出</w:t>
      </w:r>
      <w:r>
        <w:rPr>
          <w:rFonts w:hint="eastAsia" w:ascii="Times New Roman" w:hAnsi="Times New Roman" w:eastAsia="仿宋_GB2312" w:cs="仿宋_GB2312"/>
          <w:color w:val="auto"/>
          <w:sz w:val="32"/>
          <w:szCs w:val="32"/>
          <w:lang w:eastAsia="zh-CN"/>
        </w:rPr>
        <w:t>大部分</w:t>
      </w:r>
      <w:r>
        <w:rPr>
          <w:rFonts w:hint="eastAsia" w:ascii="Times New Roman" w:hAnsi="Times New Roman" w:eastAsia="仿宋_GB2312" w:cs="仿宋_GB2312"/>
          <w:color w:val="auto"/>
          <w:sz w:val="32"/>
          <w:szCs w:val="32"/>
          <w:lang w:val="en-US" w:eastAsia="zh-CN"/>
        </w:rPr>
        <w:t>，个人出小部分</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各区医保部门要针对托育机构零散特点，对其工作人员集中开展参保缴费、待遇享受等政策宣讲，要</w:t>
      </w:r>
      <w:r>
        <w:rPr>
          <w:rFonts w:hint="eastAsia" w:ascii="Times New Roman" w:hAnsi="Times New Roman" w:eastAsia="仿宋_GB2312" w:cs="仿宋_GB2312"/>
          <w:color w:val="auto"/>
          <w:sz w:val="32"/>
          <w:szCs w:val="32"/>
          <w:lang w:eastAsia="zh-CN"/>
        </w:rPr>
        <w:t>联合</w:t>
      </w:r>
      <w:r>
        <w:rPr>
          <w:rFonts w:hint="eastAsia" w:ascii="Times New Roman" w:hAnsi="Times New Roman" w:eastAsia="仿宋_GB2312" w:cs="仿宋_GB2312"/>
          <w:color w:val="auto"/>
          <w:sz w:val="32"/>
          <w:szCs w:val="32"/>
          <w:lang w:eastAsia="zh-CN"/>
        </w:rPr>
        <w:t>卫生健康部门</w:t>
      </w:r>
      <w:bookmarkStart w:id="1" w:name="_GoBack"/>
      <w:bookmarkEnd w:id="1"/>
      <w:r>
        <w:rPr>
          <w:rFonts w:hint="eastAsia" w:ascii="Times New Roman" w:hAnsi="Times New Roman" w:eastAsia="仿宋_GB2312" w:cs="仿宋_GB2312"/>
          <w:color w:val="auto"/>
          <w:sz w:val="32"/>
          <w:szCs w:val="32"/>
          <w:lang w:eastAsia="zh-CN"/>
        </w:rPr>
        <w:t>，到定点医疗机构宣传“新生儿出生一件事”、“医保电子凭证”等相关政策</w:t>
      </w:r>
      <w:r>
        <w:rPr>
          <w:rFonts w:hint="eastAsia" w:ascii="Times New Roman" w:hAnsi="Times New Roman" w:eastAsia="仿宋_GB2312" w:cs="仿宋_GB2312"/>
          <w:color w:val="auto"/>
          <w:sz w:val="32"/>
          <w:szCs w:val="32"/>
        </w:rPr>
        <w:t>。各托育机构要按要求，开展“致幼儿（家长）的一封信”等活动，宣传参保政策，提示幼儿家长履行为子女办理参保义务。各区医保、卫生健康部门及各托育机构要提高认识、</w:t>
      </w:r>
      <w:r>
        <w:rPr>
          <w:rFonts w:hint="eastAsia" w:ascii="Times New Roman" w:hAnsi="Times New Roman" w:eastAsia="仿宋_GB2312" w:cs="仿宋_GB2312"/>
          <w:color w:val="auto"/>
          <w:sz w:val="32"/>
          <w:szCs w:val="32"/>
          <w:lang w:val="en-US" w:eastAsia="zh-CN"/>
        </w:rPr>
        <w:t>统一部署</w:t>
      </w:r>
      <w:r>
        <w:rPr>
          <w:rFonts w:hint="eastAsia" w:ascii="Times New Roman" w:hAnsi="Times New Roman" w:eastAsia="仿宋_GB2312" w:cs="仿宋_GB2312"/>
          <w:color w:val="auto"/>
          <w:sz w:val="32"/>
          <w:szCs w:val="32"/>
          <w:lang w:eastAsia="zh-CN"/>
        </w:rPr>
        <w:t>、强化指导，努力实现</w:t>
      </w:r>
      <w:r>
        <w:rPr>
          <w:rFonts w:hint="eastAsia" w:ascii="Times New Roman" w:hAnsi="Times New Roman" w:eastAsia="仿宋_GB2312" w:cs="仿宋_GB2312"/>
          <w:color w:val="auto"/>
          <w:sz w:val="32"/>
          <w:szCs w:val="32"/>
        </w:rPr>
        <w:t>托育机构在托幼儿应保尽保。</w:t>
      </w:r>
    </w:p>
    <w:p>
      <w:pPr>
        <w:pStyle w:val="20"/>
        <w:keepNext w:val="0"/>
        <w:keepLines w:val="0"/>
        <w:pageBreakBefore w:val="0"/>
        <w:widowControl w:val="0"/>
        <w:tabs>
          <w:tab w:val="left" w:pos="5642"/>
        </w:tabs>
        <w:kinsoku/>
        <w:wordWrap/>
        <w:overflowPunct/>
        <w:topLinePunct w:val="0"/>
        <w:autoSpaceDE/>
        <w:autoSpaceDN/>
        <w:bidi w:val="0"/>
        <w:adjustRightInd w:val="0"/>
        <w:snapToGrid w:val="0"/>
        <w:spacing w:before="0" w:beforeAutospacing="0" w:after="0" w:afterAutospacing="0" w:line="578" w:lineRule="exact"/>
        <w:ind w:firstLine="640" w:firstLineChars="200"/>
        <w:jc w:val="both"/>
        <w:textAlignment w:val="auto"/>
        <w:rPr>
          <w:rFonts w:hint="eastAsia" w:ascii="Times New Roman" w:hAnsi="Times New Roman" w:eastAsia="仿宋_GB2312" w:cs="Times New Roman"/>
          <w:sz w:val="32"/>
          <w:szCs w:val="32"/>
        </w:rPr>
      </w:pPr>
    </w:p>
    <w:p>
      <w:pPr>
        <w:pStyle w:val="20"/>
        <w:keepNext w:val="0"/>
        <w:keepLines w:val="0"/>
        <w:pageBreakBefore w:val="0"/>
        <w:widowControl w:val="0"/>
        <w:tabs>
          <w:tab w:val="left" w:pos="5642"/>
        </w:tabs>
        <w:kinsoku/>
        <w:wordWrap/>
        <w:overflowPunct/>
        <w:topLinePunct w:val="0"/>
        <w:autoSpaceDE/>
        <w:autoSpaceDN/>
        <w:bidi w:val="0"/>
        <w:adjustRightInd w:val="0"/>
        <w:snapToGrid w:val="0"/>
        <w:spacing w:before="0" w:beforeAutospacing="0" w:after="0" w:afterAutospacing="0" w:line="578" w:lineRule="exact"/>
        <w:ind w:firstLine="640" w:firstLineChars="200"/>
        <w:jc w:val="both"/>
        <w:textAlignment w:val="auto"/>
        <w:rPr>
          <w:rFonts w:hint="eastAsia" w:ascii="Times New Roman" w:hAnsi="Times New Roman" w:eastAsia="仿宋_GB2312"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pacing w:line="578" w:lineRule="exact"/>
        <w:jc w:val="center"/>
        <w:textAlignment w:val="auto"/>
        <w:rPr>
          <w:rFonts w:ascii="Times New Roman" w:hAnsi="Times New Roman"/>
        </w:rPr>
      </w:pPr>
      <w:r>
        <w:rPr>
          <w:rFonts w:ascii="Times New Roman" w:hAnsi="Times New Roman" w:eastAsia="仿宋_GB2312" w:cs="仿宋_GB2312"/>
          <w:sz w:val="32"/>
          <w:szCs w:val="32"/>
        </w:rPr>
        <w:t xml:space="preserve">市医保局 </w:t>
      </w:r>
      <w:r>
        <w:rPr>
          <w:rFonts w:hint="eastAsia" w:ascii="Times New Roman" w:hAnsi="Times New Roman" w:eastAsia="仿宋_GB2312" w:cs="仿宋_GB2312"/>
          <w:sz w:val="32"/>
          <w:szCs w:val="32"/>
          <w:lang w:val="en-US" w:eastAsia="zh-CN"/>
        </w:rPr>
        <w:t xml:space="preserve">                      </w:t>
      </w:r>
      <w:r>
        <w:rPr>
          <w:rFonts w:ascii="Times New Roman" w:hAnsi="Times New Roman" w:eastAsia="仿宋_GB2312" w:cs="仿宋_GB2312"/>
          <w:sz w:val="32"/>
          <w:szCs w:val="32"/>
        </w:rPr>
        <w:t>市卫生健康委</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                             2023年1</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月</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日</w:t>
      </w:r>
    </w:p>
    <w:p>
      <w:pPr>
        <w:pStyle w:val="2"/>
        <w:keepNext w:val="0"/>
        <w:keepLines w:val="0"/>
        <w:pageBreakBefore w:val="0"/>
        <w:widowControl w:val="0"/>
        <w:kinsoku/>
        <w:wordWrap/>
        <w:overflowPunct/>
        <w:topLinePunct w:val="0"/>
        <w:autoSpaceDE/>
        <w:autoSpaceDN/>
        <w:bidi w:val="0"/>
        <w:spacing w:line="578" w:lineRule="exact"/>
        <w:ind w:firstLine="640"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（此件主动公开）</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Times New Roman" w:hAnsi="Times New Roman" w:eastAsia="仿宋_GB2312" w:cs="Times New Roman"/>
          <w:sz w:val="32"/>
          <w:szCs w:val="32"/>
        </w:rPr>
      </w:pPr>
    </w:p>
    <w:p>
      <w:pPr>
        <w:pStyle w:val="2"/>
        <w:keepNext w:val="0"/>
        <w:keepLines w:val="0"/>
        <w:pageBreakBefore w:val="0"/>
        <w:widowControl w:val="0"/>
        <w:kinsoku/>
        <w:wordWrap/>
        <w:overflowPunct/>
        <w:topLinePunct w:val="0"/>
        <w:autoSpaceDE/>
        <w:autoSpaceDN/>
        <w:bidi w:val="0"/>
        <w:spacing w:line="578" w:lineRule="exact"/>
        <w:jc w:val="both"/>
        <w:textAlignment w:val="auto"/>
        <w:rPr>
          <w:rFonts w:hint="eastAsia"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（此页无正文）</w:t>
      </w:r>
    </w:p>
    <w:p>
      <w:pPr>
        <w:pStyle w:val="2"/>
        <w:keepNext w:val="0"/>
        <w:keepLines w:val="0"/>
        <w:pageBreakBefore w:val="0"/>
        <w:widowControl w:val="0"/>
        <w:kinsoku/>
        <w:wordWrap/>
        <w:overflowPunct/>
        <w:topLinePunct w:val="0"/>
        <w:autoSpaceDE/>
        <w:autoSpaceDN/>
        <w:bidi w:val="0"/>
        <w:spacing w:line="578" w:lineRule="exact"/>
        <w:jc w:val="both"/>
        <w:textAlignment w:val="auto"/>
        <w:rPr>
          <w:rFonts w:hint="eastAsia"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spacing w:line="578" w:lineRule="exact"/>
        <w:textAlignment w:val="auto"/>
        <w:rPr>
          <w:rFonts w:hint="eastAsia" w:ascii="Times New Roman" w:hAnsi="Times New Roman" w:eastAsia="仿宋_GB2312" w:cs="Times New Roman"/>
          <w:sz w:val="32"/>
          <w:szCs w:val="32"/>
        </w:rPr>
      </w:pPr>
    </w:p>
    <w:p>
      <w:pPr>
        <w:pStyle w:val="2"/>
        <w:keepNext w:val="0"/>
        <w:keepLines w:val="0"/>
        <w:pageBreakBefore w:val="0"/>
        <w:widowControl w:val="0"/>
        <w:kinsoku/>
        <w:wordWrap/>
        <w:overflowPunct/>
        <w:topLinePunct w:val="0"/>
        <w:autoSpaceDE/>
        <w:autoSpaceDN/>
        <w:bidi w:val="0"/>
        <w:spacing w:line="578" w:lineRule="exact"/>
        <w:jc w:val="both"/>
        <w:textAlignment w:val="auto"/>
        <w:rPr>
          <w:rFonts w:hint="eastAsia"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spacing w:line="578" w:lineRule="exact"/>
        <w:textAlignment w:val="auto"/>
        <w:rPr>
          <w:rFonts w:hint="eastAsia" w:ascii="Times New Roman" w:hAnsi="Times New Roman" w:eastAsia="仿宋_GB2312" w:cs="Times New Roman"/>
          <w:sz w:val="32"/>
          <w:szCs w:val="32"/>
        </w:rPr>
      </w:pPr>
    </w:p>
    <w:p>
      <w:pPr>
        <w:pStyle w:val="2"/>
        <w:keepNext w:val="0"/>
        <w:keepLines w:val="0"/>
        <w:pageBreakBefore w:val="0"/>
        <w:widowControl w:val="0"/>
        <w:kinsoku/>
        <w:wordWrap/>
        <w:overflowPunct/>
        <w:topLinePunct w:val="0"/>
        <w:autoSpaceDE/>
        <w:autoSpaceDN/>
        <w:bidi w:val="0"/>
        <w:spacing w:line="578" w:lineRule="exact"/>
        <w:jc w:val="both"/>
        <w:textAlignment w:val="auto"/>
        <w:rPr>
          <w:rFonts w:hint="eastAsia"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spacing w:line="578" w:lineRule="exact"/>
        <w:textAlignment w:val="auto"/>
        <w:rPr>
          <w:rFonts w:hint="eastAsia" w:ascii="Times New Roman" w:hAnsi="Times New Roman" w:eastAsia="仿宋_GB2312" w:cs="Times New Roman"/>
          <w:sz w:val="32"/>
          <w:szCs w:val="32"/>
        </w:rPr>
      </w:pPr>
    </w:p>
    <w:p>
      <w:pPr>
        <w:pStyle w:val="2"/>
        <w:keepNext w:val="0"/>
        <w:keepLines w:val="0"/>
        <w:pageBreakBefore w:val="0"/>
        <w:widowControl w:val="0"/>
        <w:kinsoku/>
        <w:wordWrap/>
        <w:overflowPunct/>
        <w:topLinePunct w:val="0"/>
        <w:autoSpaceDE/>
        <w:autoSpaceDN/>
        <w:bidi w:val="0"/>
        <w:spacing w:line="578" w:lineRule="exact"/>
        <w:jc w:val="both"/>
        <w:textAlignment w:val="auto"/>
        <w:rPr>
          <w:rFonts w:hint="eastAsia"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spacing w:line="578" w:lineRule="exact"/>
        <w:textAlignment w:val="auto"/>
        <w:rPr>
          <w:rFonts w:hint="eastAsia" w:ascii="Times New Roman" w:hAnsi="Times New Roman" w:eastAsia="仿宋_GB2312" w:cs="Times New Roman"/>
          <w:sz w:val="32"/>
          <w:szCs w:val="32"/>
        </w:rPr>
      </w:pPr>
    </w:p>
    <w:p>
      <w:pPr>
        <w:pStyle w:val="2"/>
        <w:keepNext w:val="0"/>
        <w:keepLines w:val="0"/>
        <w:pageBreakBefore w:val="0"/>
        <w:widowControl w:val="0"/>
        <w:kinsoku/>
        <w:wordWrap/>
        <w:overflowPunct/>
        <w:topLinePunct w:val="0"/>
        <w:autoSpaceDE/>
        <w:autoSpaceDN/>
        <w:bidi w:val="0"/>
        <w:spacing w:line="578" w:lineRule="exact"/>
        <w:jc w:val="both"/>
        <w:textAlignment w:val="auto"/>
        <w:rPr>
          <w:rFonts w:hint="eastAsia"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spacing w:line="578" w:lineRule="exact"/>
        <w:textAlignment w:val="auto"/>
        <w:rPr>
          <w:rFonts w:hint="eastAsia" w:ascii="Times New Roman" w:hAnsi="Times New Roman" w:eastAsia="仿宋_GB2312" w:cs="Times New Roman"/>
          <w:sz w:val="32"/>
          <w:szCs w:val="32"/>
        </w:rPr>
      </w:pPr>
    </w:p>
    <w:p>
      <w:pPr>
        <w:pStyle w:val="2"/>
        <w:keepNext w:val="0"/>
        <w:keepLines w:val="0"/>
        <w:pageBreakBefore w:val="0"/>
        <w:widowControl w:val="0"/>
        <w:kinsoku/>
        <w:wordWrap/>
        <w:overflowPunct/>
        <w:topLinePunct w:val="0"/>
        <w:autoSpaceDE/>
        <w:autoSpaceDN/>
        <w:bidi w:val="0"/>
        <w:spacing w:line="578" w:lineRule="exact"/>
        <w:jc w:val="both"/>
        <w:textAlignment w:val="auto"/>
        <w:rPr>
          <w:rFonts w:hint="eastAsia"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spacing w:line="578" w:lineRule="exact"/>
        <w:textAlignment w:val="auto"/>
        <w:rPr>
          <w:rFonts w:hint="eastAsia" w:ascii="Times New Roman" w:hAnsi="Times New Roman"/>
        </w:rPr>
      </w:pPr>
    </w:p>
    <w:p>
      <w:pPr>
        <w:keepNext w:val="0"/>
        <w:keepLines w:val="0"/>
        <w:pageBreakBefore w:val="0"/>
        <w:widowControl w:val="0"/>
        <w:kinsoku/>
        <w:wordWrap/>
        <w:overflowPunct/>
        <w:topLinePunct w:val="0"/>
        <w:autoSpaceDE/>
        <w:autoSpaceDN/>
        <w:bidi w:val="0"/>
        <w:spacing w:line="578" w:lineRule="exact"/>
        <w:textAlignment w:val="auto"/>
        <w:rPr>
          <w:rFonts w:hint="eastAsia" w:ascii="Times New Roman" w:hAnsi="Times New Roman"/>
        </w:rPr>
      </w:pPr>
    </w:p>
    <w:p>
      <w:pPr>
        <w:pStyle w:val="2"/>
        <w:jc w:val="both"/>
        <w:rPr>
          <w:rFonts w:hint="eastAsia" w:ascii="Times New Roman" w:hAnsi="Times New Roman"/>
        </w:rPr>
      </w:pPr>
    </w:p>
    <w:p>
      <w:pPr>
        <w:rPr>
          <w:rFonts w:hint="eastAsia" w:ascii="Times New Roman" w:hAnsi="Times New Roman"/>
        </w:rPr>
      </w:pPr>
    </w:p>
    <w:p>
      <w:pPr>
        <w:pStyle w:val="2"/>
        <w:jc w:val="both"/>
        <w:rPr>
          <w:rFonts w:hint="eastAsia" w:ascii="Times New Roman" w:hAnsi="Times New Roman"/>
        </w:rPr>
      </w:pPr>
    </w:p>
    <w:p>
      <w:pPr>
        <w:rPr>
          <w:rFonts w:hint="eastAsia" w:ascii="Times New Roman" w:hAnsi="Times New Roman"/>
        </w:rPr>
      </w:pPr>
    </w:p>
    <w:p>
      <w:pPr>
        <w:pStyle w:val="2"/>
        <w:jc w:val="both"/>
        <w:rPr>
          <w:rFonts w:hint="eastAsia" w:ascii="Times New Roman" w:hAnsi="Times New Roman"/>
        </w:rPr>
      </w:pPr>
    </w:p>
    <w:p>
      <w:pPr>
        <w:keepNext w:val="0"/>
        <w:keepLines w:val="0"/>
        <w:pageBreakBefore w:val="0"/>
        <w:widowControl w:val="0"/>
        <w:kinsoku/>
        <w:wordWrap/>
        <w:overflowPunct/>
        <w:topLinePunct w:val="0"/>
        <w:autoSpaceDE/>
        <w:autoSpaceDN/>
        <w:bidi w:val="0"/>
        <w:spacing w:line="578" w:lineRule="exact"/>
        <w:ind w:left="210" w:leftChars="100" w:right="210" w:rightChars="100"/>
        <w:textAlignment w:val="auto"/>
        <w:rPr>
          <w:rFonts w:hint="eastAsia" w:ascii="Times New Roman" w:hAnsi="Times New Roman"/>
          <w:lang w:eastAsia="zh-CN"/>
        </w:rPr>
      </w:pPr>
      <w:r>
        <w:rPr>
          <w:rFonts w:ascii="Times New Roman" w:hAnsi="Times New Roman"/>
        </w:rPr>
        <mc:AlternateContent>
          <mc:Choice Requires="wps">
            <w:drawing>
              <wp:anchor distT="0" distB="0" distL="114300" distR="114300" simplePos="0" relativeHeight="251693056" behindDoc="0" locked="0" layoutInCell="1" allowOverlap="1">
                <wp:simplePos x="0" y="0"/>
                <wp:positionH relativeFrom="column">
                  <wp:posOffset>-635</wp:posOffset>
                </wp:positionH>
                <wp:positionV relativeFrom="paragraph">
                  <wp:posOffset>0</wp:posOffset>
                </wp:positionV>
                <wp:extent cx="5601335" cy="0"/>
                <wp:effectExtent l="0" t="9525" r="18415" b="9525"/>
                <wp:wrapNone/>
                <wp:docPr id="2" name="直线 34"/>
                <wp:cNvGraphicFramePr/>
                <a:graphic xmlns:a="http://schemas.openxmlformats.org/drawingml/2006/main">
                  <a:graphicData uri="http://schemas.microsoft.com/office/word/2010/wordprocessingShape">
                    <wps:wsp>
                      <wps:cNvCnPr/>
                      <wps:spPr>
                        <a:xfrm>
                          <a:off x="0" y="0"/>
                          <a:ext cx="5601335" cy="0"/>
                        </a:xfrm>
                        <a:prstGeom prst="line">
                          <a:avLst/>
                        </a:prstGeom>
                        <a:ln w="19050" cap="flat" cmpd="sng">
                          <a:solidFill>
                            <a:srgbClr val="000000"/>
                          </a:solidFill>
                          <a:prstDash val="solid"/>
                          <a:headEnd type="none" w="med" len="med"/>
                          <a:tailEnd type="none" w="med" len="med"/>
                        </a:ln>
                      </wps:spPr>
                      <wps:bodyPr upright="true"/>
                    </wps:wsp>
                  </a:graphicData>
                </a:graphic>
              </wp:anchor>
            </w:drawing>
          </mc:Choice>
          <mc:Fallback>
            <w:pict>
              <v:line id="直线 34" o:spid="_x0000_s1026" o:spt="20" style="position:absolute;left:0pt;margin-left:-0.05pt;margin-top:0pt;height:0pt;width:441.05pt;z-index:251693056;mso-width-relative:page;mso-height-relative:page;" filled="f" stroked="t" coordsize="21600,21600" o:gfxdata="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NQlSz/RAAAAAwEA&#10;AA8AAAAAAAAAAQAgAAAAOAAAAGRycy9kb3ducmV2LnhtbFBLAQIUABQAAAAIAIdO4kDw+ytg0gEA&#10;AJIDAAAOAAAAAAAAAAEAIAAAADYBAABkcnMvZTJvRG9jLnhtbFBLBQYAAAAABgAGAFkBAAB6BQAA&#10;AAA=&#10;">
                <v:fill on="f" focussize="0,0"/>
                <v:stroke weight="1.5pt" color="#000000" joinstyle="round"/>
                <v:imagedata o:title=""/>
                <o:lock v:ext="edit" aspectratio="f"/>
              </v:line>
            </w:pict>
          </mc:Fallback>
        </mc:AlternateContent>
      </w:r>
      <w:r>
        <w:rPr>
          <w:rFonts w:ascii="Times New Roman" w:hAnsi="Times New Roman"/>
        </w:rPr>
        <mc:AlternateContent>
          <mc:Choice Requires="wps">
            <w:drawing>
              <wp:anchor distT="0" distB="0" distL="114300" distR="114300" simplePos="0" relativeHeight="251694080" behindDoc="0" locked="0" layoutInCell="1" allowOverlap="1">
                <wp:simplePos x="0" y="0"/>
                <wp:positionH relativeFrom="column">
                  <wp:posOffset>0</wp:posOffset>
                </wp:positionH>
                <wp:positionV relativeFrom="paragraph">
                  <wp:posOffset>387350</wp:posOffset>
                </wp:positionV>
                <wp:extent cx="5601335" cy="0"/>
                <wp:effectExtent l="0" t="9525" r="18415" b="9525"/>
                <wp:wrapNone/>
                <wp:docPr id="3" name="直线 35"/>
                <wp:cNvGraphicFramePr/>
                <a:graphic xmlns:a="http://schemas.openxmlformats.org/drawingml/2006/main">
                  <a:graphicData uri="http://schemas.microsoft.com/office/word/2010/wordprocessingShape">
                    <wps:wsp>
                      <wps:cNvCnPr/>
                      <wps:spPr>
                        <a:xfrm>
                          <a:off x="0" y="0"/>
                          <a:ext cx="5601335" cy="0"/>
                        </a:xfrm>
                        <a:prstGeom prst="line">
                          <a:avLst/>
                        </a:prstGeom>
                        <a:ln w="19050" cap="flat" cmpd="sng">
                          <a:solidFill>
                            <a:srgbClr val="000000"/>
                          </a:solidFill>
                          <a:prstDash val="solid"/>
                          <a:headEnd type="none" w="med" len="med"/>
                          <a:tailEnd type="none" w="med" len="med"/>
                        </a:ln>
                      </wps:spPr>
                      <wps:bodyPr upright="true"/>
                    </wps:wsp>
                  </a:graphicData>
                </a:graphic>
              </wp:anchor>
            </w:drawing>
          </mc:Choice>
          <mc:Fallback>
            <w:pict>
              <v:line id="直线 35" o:spid="_x0000_s1026" o:spt="20" style="position:absolute;left:0pt;margin-left:0pt;margin-top:30.5pt;height:0pt;width:441.05pt;z-index:251694080;mso-width-relative:page;mso-height-relative:page;" filled="f" stroked="t" coordsize="21600,21600" o:gfxdata="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PvJz/XTAAAABgEA&#10;AA8AAAAAAAAAAQAgAAAAOAAAAGRycy9kb3ducmV2LnhtbFBLAQIUABQAAAAIAIdO4kDehAFq0AEA&#10;AJIDAAAOAAAAAAAAAAEAIAAAADgBAABkcnMvZTJvRG9jLnhtbFBLBQYAAAAABgAGAFkBAAB6BQAA&#10;AAA=&#10;">
                <v:fill on="f" focussize="0,0"/>
                <v:stroke weight="1.5pt" color="#000000" joinstyle="round"/>
                <v:imagedata o:title=""/>
                <o:lock v:ext="edit" aspectratio="f"/>
              </v:line>
            </w:pict>
          </mc:Fallback>
        </mc:AlternateContent>
      </w:r>
      <w:r>
        <w:rPr>
          <w:rFonts w:ascii="Times New Roman" w:hAnsi="Times New Roman"/>
        </w:rPr>
        <mc:AlternateContent>
          <mc:Choice Requires="wps">
            <w:drawing>
              <wp:anchor distT="0" distB="0" distL="114300" distR="114300" simplePos="0" relativeHeight="251695104" behindDoc="0" locked="0" layoutInCell="0" allowOverlap="1">
                <wp:simplePos x="0" y="0"/>
                <wp:positionH relativeFrom="column">
                  <wp:posOffset>0</wp:posOffset>
                </wp:positionH>
                <wp:positionV relativeFrom="paragraph">
                  <wp:posOffset>0</wp:posOffset>
                </wp:positionV>
                <wp:extent cx="5601335" cy="0"/>
                <wp:effectExtent l="0" t="0" r="0" b="0"/>
                <wp:wrapNone/>
                <wp:docPr id="4" name="直线 36"/>
                <wp:cNvGraphicFramePr/>
                <a:graphic xmlns:a="http://schemas.openxmlformats.org/drawingml/2006/main">
                  <a:graphicData uri="http://schemas.microsoft.com/office/word/2010/wordprocessingShape">
                    <wps:wsp>
                      <wps:cNvCnPr/>
                      <wps:spPr>
                        <a:xfrm>
                          <a:off x="0" y="0"/>
                          <a:ext cx="5601335"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36" o:spid="_x0000_s1026" o:spt="20" style="position:absolute;left:0pt;margin-left:0pt;margin-top:0pt;height:0pt;width:441.05pt;z-index:251695104;mso-width-relative:page;mso-height-relative:page;" filled="f" stroked="t" coordsize="21600,21600" o:allowincell="f" o:gfxdata="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3HclB9EAAAACAQAA&#10;DwAAAAAAAAABACAAAAA4AAAAZHJzL2Rvd25yZXYueG1sUEsBAhQAFAAAAAgAh07iQJr79tbRAQAA&#10;kQMAAA4AAAAAAAAAAQAgAAAANgEAAGRycy9lMm9Eb2MueG1sUEsFBgAAAAAGAAYAWQEAAHkFAAAA&#10;AA==&#10;">
                <v:fill on="f" focussize="0,0"/>
                <v:stroke color="#000000" joinstyle="round"/>
                <v:imagedata o:title=""/>
                <o:lock v:ext="edit" aspectratio="f"/>
              </v:line>
            </w:pict>
          </mc:Fallback>
        </mc:AlternateContent>
      </w:r>
      <w:r>
        <w:rPr>
          <w:rFonts w:hint="eastAsia" w:ascii="Times New Roman" w:hAnsi="Times New Roman" w:eastAsia="仿宋_GB2312"/>
          <w:sz w:val="28"/>
          <w:szCs w:val="28"/>
        </w:rPr>
        <w:t>天津市医疗保障局办公室</w:t>
      </w:r>
      <w:r>
        <w:rPr>
          <w:rFonts w:ascii="Times New Roman" w:hAnsi="Times New Roman" w:eastAsia="仿宋_GB2312"/>
          <w:sz w:val="28"/>
          <w:szCs w:val="28"/>
        </w:rPr>
        <w:t xml:space="preserve">      </w:t>
      </w:r>
      <w:r>
        <w:rPr>
          <w:rFonts w:hint="default" w:ascii="Times New Roman" w:hAnsi="Times New Roman" w:eastAsia="仿宋_GB2312"/>
          <w:sz w:val="28"/>
          <w:szCs w:val="28"/>
        </w:rPr>
        <w:t xml:space="preserve">   </w:t>
      </w:r>
      <w:r>
        <w:rPr>
          <w:rFonts w:ascii="Times New Roman" w:hAnsi="Times New Roman" w:eastAsia="仿宋_GB2312"/>
          <w:sz w:val="28"/>
          <w:szCs w:val="28"/>
        </w:rPr>
        <w:t xml:space="preserve">      202</w:t>
      </w:r>
      <w:r>
        <w:rPr>
          <w:rFonts w:hint="eastAsia" w:ascii="Times New Roman" w:hAnsi="Times New Roman" w:eastAsia="仿宋_GB2312"/>
          <w:sz w:val="28"/>
          <w:szCs w:val="28"/>
          <w:lang w:val="en-US" w:eastAsia="zh-CN"/>
        </w:rPr>
        <w:t>3</w:t>
      </w:r>
      <w:r>
        <w:rPr>
          <w:rFonts w:hint="eastAsia" w:ascii="Times New Roman" w:hAnsi="Times New Roman" w:eastAsia="仿宋_GB2312"/>
          <w:sz w:val="28"/>
          <w:szCs w:val="28"/>
        </w:rPr>
        <w:t>年</w:t>
      </w:r>
      <w:r>
        <w:rPr>
          <w:rFonts w:hint="eastAsia" w:ascii="Times New Roman" w:hAnsi="Times New Roman" w:eastAsia="仿宋_GB2312"/>
          <w:sz w:val="28"/>
          <w:szCs w:val="28"/>
          <w:lang w:val="en-US" w:eastAsia="zh-CN"/>
        </w:rPr>
        <w:t>11</w:t>
      </w:r>
      <w:r>
        <w:rPr>
          <w:rFonts w:hint="eastAsia" w:ascii="Times New Roman" w:hAnsi="Times New Roman" w:eastAsia="仿宋_GB2312"/>
          <w:sz w:val="28"/>
          <w:szCs w:val="28"/>
        </w:rPr>
        <w:t>月</w:t>
      </w:r>
      <w:r>
        <w:rPr>
          <w:rFonts w:hint="eastAsia" w:ascii="Times New Roman" w:hAnsi="Times New Roman" w:eastAsia="仿宋_GB2312"/>
          <w:sz w:val="28"/>
          <w:szCs w:val="28"/>
          <w:lang w:val="en-US" w:eastAsia="zh-CN"/>
        </w:rPr>
        <w:t>2</w:t>
      </w:r>
      <w:r>
        <w:rPr>
          <w:rFonts w:hint="eastAsia" w:ascii="Times New Roman" w:hAnsi="Times New Roman" w:eastAsia="仿宋_GB2312"/>
          <w:sz w:val="28"/>
          <w:szCs w:val="28"/>
          <w:lang w:val="en-US" w:eastAsia="zh-CN"/>
        </w:rPr>
        <w:t>7</w:t>
      </w:r>
      <w:r>
        <w:rPr>
          <w:rFonts w:hint="eastAsia" w:ascii="Times New Roman" w:hAnsi="Times New Roman" w:eastAsia="仿宋_GB2312"/>
          <w:sz w:val="28"/>
          <w:szCs w:val="28"/>
        </w:rPr>
        <w:t>日印发</w:t>
      </w:r>
    </w:p>
    <w:sectPr>
      <w:footerReference r:id="rId5" w:type="default"/>
      <w:pgSz w:w="11906" w:h="16838"/>
      <w:pgMar w:top="2098" w:right="1474" w:bottom="1984" w:left="1587" w:header="851" w:footer="992"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文星简小标宋">
    <w:altName w:val="方正小标宋_GBK"/>
    <w:panose1 w:val="00000000000000000000"/>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t">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-59690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4.7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">
              <v:fill on="f" focussize="0,0"/>
              <v:stroke on="f" weight="0.5pt"/>
              <v:imagedata o:title=""/>
              <o:lock v:ext="edit" aspectratio="f"/>
              <v:textbox inset="0mm,0mm,0mm,0mm" style="mso-fit-shape-to-text:t;">
                <w:txbxContent>
                  <w:p>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BDC"/>
    <w:rsid w:val="000A44BF"/>
    <w:rsid w:val="00120125"/>
    <w:rsid w:val="00162B87"/>
    <w:rsid w:val="00211918"/>
    <w:rsid w:val="00233E93"/>
    <w:rsid w:val="002E1670"/>
    <w:rsid w:val="002E3A88"/>
    <w:rsid w:val="002F4A77"/>
    <w:rsid w:val="00322A1A"/>
    <w:rsid w:val="003607D0"/>
    <w:rsid w:val="003A511C"/>
    <w:rsid w:val="003F0BDC"/>
    <w:rsid w:val="004E7AF1"/>
    <w:rsid w:val="00542C72"/>
    <w:rsid w:val="00561774"/>
    <w:rsid w:val="0059190B"/>
    <w:rsid w:val="005F3A91"/>
    <w:rsid w:val="00637666"/>
    <w:rsid w:val="00653E0B"/>
    <w:rsid w:val="00833FB4"/>
    <w:rsid w:val="00864DF6"/>
    <w:rsid w:val="00896547"/>
    <w:rsid w:val="008E1795"/>
    <w:rsid w:val="00957982"/>
    <w:rsid w:val="009A720A"/>
    <w:rsid w:val="009D3C84"/>
    <w:rsid w:val="00A76EA1"/>
    <w:rsid w:val="00AC36C9"/>
    <w:rsid w:val="00B7313E"/>
    <w:rsid w:val="00BB3999"/>
    <w:rsid w:val="00BB700D"/>
    <w:rsid w:val="00BD78A2"/>
    <w:rsid w:val="00BE0092"/>
    <w:rsid w:val="00C263D7"/>
    <w:rsid w:val="00C67CC4"/>
    <w:rsid w:val="00CC0423"/>
    <w:rsid w:val="00CC2B75"/>
    <w:rsid w:val="00D01805"/>
    <w:rsid w:val="00D51514"/>
    <w:rsid w:val="00D97787"/>
    <w:rsid w:val="00DB5A57"/>
    <w:rsid w:val="00DD0370"/>
    <w:rsid w:val="00E314AB"/>
    <w:rsid w:val="00E47CEC"/>
    <w:rsid w:val="00F21FFE"/>
    <w:rsid w:val="00F603A0"/>
    <w:rsid w:val="00F60D89"/>
    <w:rsid w:val="00F6388A"/>
    <w:rsid w:val="00FA15B8"/>
    <w:rsid w:val="00FC5D95"/>
    <w:rsid w:val="09EB1EA0"/>
    <w:rsid w:val="1FBAF31D"/>
    <w:rsid w:val="3FCF6661"/>
    <w:rsid w:val="D5FE3D3E"/>
    <w:rsid w:val="FAFF726A"/>
    <w:rsid w:val="FFC93CE7"/>
    <w:rsid w:val="FFDA9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sz w:val="44"/>
    </w:rPr>
  </w:style>
  <w:style w:type="paragraph" w:styleId="3">
    <w:name w:val="Body Text Indent"/>
    <w:basedOn w:val="1"/>
    <w:qFormat/>
    <w:uiPriority w:val="0"/>
    <w:pPr>
      <w:ind w:firstLine="360"/>
    </w:pPr>
  </w:style>
  <w:style w:type="paragraph" w:styleId="4">
    <w:name w:val="Date"/>
    <w:basedOn w:val="1"/>
    <w:next w:val="1"/>
    <w:qFormat/>
    <w:uiPriority w:val="0"/>
    <w:rPr>
      <w:rFonts w:ascii="仿宋_GB2312" w:eastAsia="仿宋_GB2312"/>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paragraph" w:customStyle="1" w:styleId="11">
    <w:name w:val="Default"/>
    <w:basedOn w:val="1"/>
    <w:qFormat/>
    <w:uiPriority w:val="0"/>
    <w:pPr>
      <w:autoSpaceDE w:val="0"/>
      <w:autoSpaceDN w:val="0"/>
      <w:adjustRightInd w:val="0"/>
      <w:jc w:val="left"/>
    </w:pPr>
    <w:rPr>
      <w:rFonts w:ascii="宋体"/>
      <w:color w:val="000000"/>
      <w:kern w:val="0"/>
      <w:sz w:val="24"/>
      <w:szCs w:val="24"/>
    </w:rPr>
  </w:style>
  <w:style w:type="character" w:customStyle="1" w:styleId="12">
    <w:name w:val="Hei Ti"/>
    <w:qFormat/>
    <w:uiPriority w:val="0"/>
    <w:rPr>
      <w:rFonts w:ascii="黑体" w:hAnsi="黑体" w:eastAsia="黑体" w:cs="黑体"/>
      <w:sz w:val="32"/>
    </w:rPr>
  </w:style>
  <w:style w:type="character" w:customStyle="1" w:styleId="13">
    <w:name w:val="Hei Ti Bold"/>
    <w:qFormat/>
    <w:uiPriority w:val="0"/>
    <w:rPr>
      <w:rFonts w:ascii="黑体" w:hAnsi="黑体" w:eastAsia="黑体" w:cs="黑体"/>
      <w:b/>
      <w:sz w:val="32"/>
    </w:rPr>
  </w:style>
  <w:style w:type="character" w:customStyle="1" w:styleId="14">
    <w:name w:val="Hei Ti Bold1"/>
    <w:qFormat/>
    <w:uiPriority w:val="0"/>
    <w:rPr>
      <w:rFonts w:ascii="黑体" w:hAnsi="黑体" w:eastAsia="黑体" w:cs="黑体"/>
      <w:b/>
      <w:sz w:val="36"/>
    </w:rPr>
  </w:style>
  <w:style w:type="character" w:customStyle="1" w:styleId="15">
    <w:name w:val="GB_2312"/>
    <w:qFormat/>
    <w:uiPriority w:val="0"/>
    <w:rPr>
      <w:rFonts w:ascii="仿宋_GB2312" w:hAnsi="仿宋_GB2312" w:eastAsia="仿宋_GB2312" w:cs="仿宋_GB2312"/>
      <w:sz w:val="32"/>
    </w:rPr>
  </w:style>
  <w:style w:type="character" w:customStyle="1" w:styleId="16">
    <w:name w:val="GB_23121"/>
    <w:qFormat/>
    <w:uiPriority w:val="0"/>
    <w:rPr>
      <w:rFonts w:ascii="仿宋_GB2312" w:hAnsi="仿宋_GB2312" w:eastAsia="仿宋_GB2312" w:cs="仿宋_GB2312"/>
      <w:sz w:val="36"/>
    </w:rPr>
  </w:style>
  <w:style w:type="character" w:customStyle="1" w:styleId="17">
    <w:name w:val="Red_Color"/>
    <w:qFormat/>
    <w:uiPriority w:val="0"/>
    <w:rPr>
      <w:rFonts w:ascii="方正小标宋简体" w:hAnsi="方正小标宋简体" w:eastAsia="方正小标宋简体" w:cs="方正小标宋简体"/>
      <w:color w:val="000000"/>
      <w:sz w:val="65"/>
    </w:rPr>
  </w:style>
  <w:style w:type="character" w:customStyle="1" w:styleId="18">
    <w:name w:val="KaiTi"/>
    <w:qFormat/>
    <w:uiPriority w:val="0"/>
    <w:rPr>
      <w:rFonts w:ascii="楷体_GB2312" w:hAnsi="楷体_GB2312" w:eastAsia="楷体_GB2312" w:cs="楷体_GB2312"/>
      <w:sz w:val="32"/>
    </w:rPr>
  </w:style>
  <w:style w:type="character" w:customStyle="1" w:styleId="19">
    <w:name w:val="Fz_Xbs"/>
    <w:qFormat/>
    <w:uiPriority w:val="0"/>
    <w:rPr>
      <w:rFonts w:ascii="方正小标宋简体" w:hAnsi="方正小标宋简体" w:eastAsia="方正小标宋简体" w:cs="方正小标宋简体"/>
      <w:sz w:val="44"/>
    </w:rPr>
  </w:style>
  <w:style w:type="paragraph" w:customStyle="1" w:styleId="20">
    <w:name w:val="p0"/>
    <w:basedOn w:val="1"/>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26</Words>
  <Characters>149</Characters>
  <Lines>1</Lines>
  <Paragraphs>1</Paragraphs>
  <TotalTime>0</TotalTime>
  <ScaleCrop>false</ScaleCrop>
  <LinksUpToDate>false</LinksUpToDate>
  <CharactersWithSpaces>174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2021-03-27T19:26:00Z</dcterms:created>
  <dc:creator>linhong</dc:creator>
  <cp:lastModifiedBy>sugon</cp:lastModifiedBy>
  <cp:lastPrinted>2023-11-27T16:04:08Z</cp:lastPrinted>
  <dcterms:modified xsi:type="dcterms:W3CDTF">2023-11-27T16:14:08Z</dcterms:modified>
  <dc:title>塘计[2004]1号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