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A3" w:rsidRDefault="000A21A3">
      <w:pPr>
        <w:spacing w:line="560" w:lineRule="exact"/>
        <w:rPr>
          <w:rFonts w:eastAsia="仿宋_GB2312"/>
          <w:b/>
          <w:color w:val="000000"/>
          <w:sz w:val="44"/>
          <w:szCs w:val="44"/>
        </w:rPr>
      </w:pPr>
    </w:p>
    <w:p w:rsidR="000A21A3" w:rsidRDefault="00C80BC4"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津医保</w:t>
      </w:r>
      <w:r>
        <w:rPr>
          <w:rFonts w:eastAsia="仿宋_GB2312" w:hint="eastAsia"/>
          <w:color w:val="000000"/>
          <w:sz w:val="32"/>
          <w:szCs w:val="32"/>
        </w:rPr>
        <w:t>规字</w:t>
      </w:r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号</w:t>
      </w:r>
    </w:p>
    <w:p w:rsidR="000A21A3" w:rsidRDefault="00C80BC4">
      <w:pPr>
        <w:spacing w:line="578" w:lineRule="exact"/>
        <w:jc w:val="left"/>
        <w:rPr>
          <w:rFonts w:eastAsia="方正小标宋简体"/>
          <w:sz w:val="44"/>
          <w:szCs w:val="52"/>
        </w:rPr>
      </w:pPr>
      <w:r>
        <w:rPr>
          <w:rFonts w:eastAsia="文星简小标宋"/>
          <w:bCs/>
          <w:noProof/>
          <w:sz w:val="44"/>
          <w:szCs w:val="44"/>
        </w:rPr>
        <mc:AlternateContent>
          <mc:Choice Requires="wps">
            <w:drawing>
              <wp:anchor distT="0" distB="0" distL="113665" distR="113665" simplePos="0" relativeHeight="25165619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54610</wp:posOffset>
                </wp:positionV>
                <wp:extent cx="5756275" cy="635"/>
                <wp:effectExtent l="0" t="0" r="0" b="0"/>
                <wp:wrapNone/>
                <wp:docPr id="1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275" cy="952"/>
                        </a:xfrm>
                        <a:prstGeom prst="lin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0023F" id="直线 33" o:spid="_x0000_s1026" style="position:absolute;left:0;text-align:left;z-index:251656192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-5.95pt,4.3pt" to="447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" strokecolor="red" strokeweight="2.25pt"/>
            </w:pict>
          </mc:Fallback>
        </mc:AlternateContent>
      </w:r>
    </w:p>
    <w:p w:rsidR="000A21A3" w:rsidRDefault="00C80BC4">
      <w:pPr>
        <w:spacing w:line="578" w:lineRule="exact"/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/>
          <w:sz w:val="44"/>
          <w:szCs w:val="52"/>
        </w:rPr>
        <w:t>市医保局关于印发《</w:t>
      </w:r>
      <w:r>
        <w:rPr>
          <w:rFonts w:eastAsia="方正小标宋简体"/>
          <w:sz w:val="44"/>
          <w:szCs w:val="52"/>
        </w:rPr>
        <w:t>天津市长期护理保险</w:t>
      </w:r>
    </w:p>
    <w:p w:rsidR="000A21A3" w:rsidRDefault="00C80BC4">
      <w:pPr>
        <w:spacing w:line="578" w:lineRule="exact"/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/>
          <w:sz w:val="44"/>
          <w:szCs w:val="52"/>
        </w:rPr>
        <w:t>委托经办机构考核清算办法</w:t>
      </w:r>
      <w:r>
        <w:rPr>
          <w:rFonts w:eastAsia="方正小标宋简体"/>
          <w:sz w:val="44"/>
          <w:szCs w:val="52"/>
        </w:rPr>
        <w:t>》的通知</w:t>
      </w:r>
    </w:p>
    <w:p w:rsidR="000A21A3" w:rsidRDefault="000A21A3">
      <w:pPr>
        <w:pStyle w:val="a0"/>
        <w:spacing w:line="578" w:lineRule="exact"/>
        <w:rPr>
          <w:rFonts w:eastAsia="方正小标宋简体"/>
          <w:sz w:val="44"/>
          <w:szCs w:val="52"/>
        </w:rPr>
      </w:pPr>
    </w:p>
    <w:p w:rsidR="000A21A3" w:rsidRDefault="00C80BC4">
      <w:pPr>
        <w:pStyle w:val="50"/>
        <w:widowControl w:val="0"/>
        <w:autoSpaceDE/>
        <w:autoSpaceDN/>
        <w:spacing w:line="578" w:lineRule="exact"/>
        <w:ind w:left="0" w:firstLine="0"/>
        <w:rPr>
          <w:rFonts w:eastAsia="仿宋_GB2312"/>
          <w:kern w:val="2"/>
          <w:sz w:val="32"/>
          <w:szCs w:val="32"/>
        </w:rPr>
      </w:pPr>
      <w:r>
        <w:rPr>
          <w:rFonts w:eastAsia="仿宋_GB2312"/>
          <w:kern w:val="2"/>
          <w:sz w:val="32"/>
          <w:szCs w:val="32"/>
        </w:rPr>
        <w:t>各区医保局、市医疗保障基金管理中心，各级委托经办机构，各有关单位：</w:t>
      </w:r>
    </w:p>
    <w:p w:rsidR="000A21A3" w:rsidRDefault="00C80BC4">
      <w:pPr>
        <w:spacing w:line="578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现将《</w:t>
      </w:r>
      <w:r>
        <w:rPr>
          <w:rFonts w:eastAsia="仿宋_GB2312"/>
          <w:sz w:val="32"/>
          <w:szCs w:val="32"/>
        </w:rPr>
        <w:t>天津市长期护理保险委托经办机构考核清算办法</w:t>
      </w:r>
      <w:r>
        <w:rPr>
          <w:rFonts w:eastAsia="仿宋_GB2312"/>
          <w:sz w:val="32"/>
          <w:szCs w:val="32"/>
        </w:rPr>
        <w:t>》印发给你们。请遵照执行。</w:t>
      </w:r>
    </w:p>
    <w:p w:rsidR="000A21A3" w:rsidRDefault="000A21A3">
      <w:pPr>
        <w:pStyle w:val="a0"/>
        <w:spacing w:line="578" w:lineRule="exact"/>
        <w:rPr>
          <w:rFonts w:eastAsia="仿宋_GB2312"/>
          <w:sz w:val="32"/>
          <w:szCs w:val="32"/>
        </w:rPr>
      </w:pPr>
    </w:p>
    <w:p w:rsidR="000A21A3" w:rsidRDefault="000A21A3">
      <w:pPr>
        <w:pStyle w:val="50"/>
        <w:widowControl w:val="0"/>
        <w:autoSpaceDE/>
        <w:autoSpaceDN/>
        <w:spacing w:line="578" w:lineRule="exact"/>
        <w:ind w:left="0" w:firstLine="0"/>
        <w:rPr>
          <w:rFonts w:eastAsia="仿宋_GB2312"/>
          <w:kern w:val="2"/>
          <w:sz w:val="32"/>
          <w:szCs w:val="32"/>
        </w:rPr>
      </w:pPr>
    </w:p>
    <w:p w:rsidR="000A21A3" w:rsidRDefault="000A21A3">
      <w:pPr>
        <w:spacing w:line="578" w:lineRule="exact"/>
      </w:pPr>
    </w:p>
    <w:p w:rsidR="000A21A3" w:rsidRDefault="00C80BC4">
      <w:pPr>
        <w:spacing w:line="578" w:lineRule="exact"/>
        <w:ind w:rightChars="700" w:right="147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日</w:t>
      </w:r>
    </w:p>
    <w:p w:rsidR="000A21A3" w:rsidRDefault="00C80BC4">
      <w:pPr>
        <w:pStyle w:val="a0"/>
        <w:spacing w:line="578" w:lineRule="exact"/>
        <w:ind w:firstLineChars="200" w:firstLine="640"/>
        <w:rPr>
          <w:rFonts w:eastAsia="仿宋_GB2312"/>
          <w:sz w:val="32"/>
          <w:szCs w:val="32"/>
        </w:rPr>
        <w:sectPr w:rsidR="000A21A3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2098" w:right="1474" w:bottom="1984" w:left="1587" w:header="851" w:footer="1134" w:gutter="0"/>
          <w:pgNumType w:fmt="numberInDash"/>
          <w:cols w:space="720"/>
          <w:titlePg/>
          <w:docGrid w:linePitch="312"/>
        </w:sectPr>
      </w:pPr>
      <w:r>
        <w:rPr>
          <w:rFonts w:eastAsia="仿宋_GB2312"/>
          <w:sz w:val="32"/>
          <w:szCs w:val="32"/>
        </w:rPr>
        <w:t>（此件主动公开）</w:t>
      </w:r>
    </w:p>
    <w:p w:rsidR="000A21A3" w:rsidRDefault="000A21A3">
      <w:pPr>
        <w:pStyle w:val="50"/>
        <w:widowControl w:val="0"/>
        <w:autoSpaceDE/>
        <w:autoSpaceDN/>
        <w:spacing w:line="578" w:lineRule="exact"/>
        <w:ind w:left="0" w:firstLine="0"/>
      </w:pPr>
    </w:p>
    <w:p w:rsidR="000A21A3" w:rsidRDefault="00C80BC4">
      <w:pPr>
        <w:pStyle w:val="a0"/>
        <w:spacing w:line="578" w:lineRule="exact"/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/>
          <w:sz w:val="44"/>
          <w:szCs w:val="52"/>
        </w:rPr>
        <w:t>天津市长期护理保险委托经办机构</w:t>
      </w:r>
    </w:p>
    <w:p w:rsidR="000A21A3" w:rsidRDefault="00C80BC4">
      <w:pPr>
        <w:pStyle w:val="a0"/>
        <w:spacing w:line="578" w:lineRule="exact"/>
        <w:jc w:val="center"/>
        <w:rPr>
          <w:rFonts w:eastAsia="方正小标宋简体"/>
          <w:sz w:val="44"/>
          <w:szCs w:val="52"/>
        </w:rPr>
      </w:pPr>
      <w:r>
        <w:rPr>
          <w:rFonts w:eastAsia="方正小标宋简体"/>
          <w:sz w:val="44"/>
          <w:szCs w:val="52"/>
        </w:rPr>
        <w:t>考核清算办法</w:t>
      </w:r>
    </w:p>
    <w:p w:rsidR="000A21A3" w:rsidRDefault="000A21A3">
      <w:pPr>
        <w:pStyle w:val="50"/>
        <w:widowControl w:val="0"/>
        <w:autoSpaceDE/>
        <w:autoSpaceDN/>
        <w:spacing w:line="578" w:lineRule="exact"/>
        <w:ind w:left="0" w:firstLine="0"/>
      </w:pPr>
    </w:p>
    <w:p w:rsidR="000A21A3" w:rsidRDefault="00C80BC4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第一章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总则</w:t>
      </w:r>
    </w:p>
    <w:p w:rsidR="000A21A3" w:rsidRDefault="000A21A3">
      <w:pPr>
        <w:spacing w:line="578" w:lineRule="exact"/>
        <w:rPr>
          <w:rFonts w:eastAsia="黑体"/>
          <w:sz w:val="32"/>
          <w:szCs w:val="32"/>
        </w:rPr>
      </w:pPr>
    </w:p>
    <w:p w:rsidR="000A21A3" w:rsidRDefault="00C80BC4">
      <w:pPr>
        <w:spacing w:line="578" w:lineRule="exact"/>
        <w:ind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为进一步提升本市长期护理保险（以下简称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长护险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）委托经办服务水平，提高管理服务效能，根据国家和本市长护险相关政策规定，结合本市实际，制定本办法。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第二条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本市医疗保障经办机构（以下简称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医保经办机构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）对长护险委托经办机构的考核清算工作适用本办法。</w:t>
      </w:r>
    </w:p>
    <w:p w:rsidR="000A21A3" w:rsidRDefault="00C80BC4">
      <w:pPr>
        <w:spacing w:line="578" w:lineRule="exact"/>
        <w:ind w:firstLine="642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第三条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考核清算坚持公开、公正、科学、规范原则；坚持内部评价与外部评价相结合原则；坚持以考促管，考管结合原则，强化</w:t>
      </w:r>
      <w:r>
        <w:rPr>
          <w:rFonts w:eastAsia="仿宋_GB2312"/>
          <w:sz w:val="32"/>
          <w:szCs w:val="32"/>
        </w:rPr>
        <w:t>考核评定结果应用，提升管理效能。</w:t>
      </w:r>
    </w:p>
    <w:p w:rsidR="000A21A3" w:rsidRDefault="00C80BC4">
      <w:pPr>
        <w:spacing w:line="578" w:lineRule="exact"/>
        <w:ind w:firstLine="642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第四条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市医疗保障行政部门</w:t>
      </w:r>
      <w:r>
        <w:rPr>
          <w:rFonts w:eastAsia="仿宋_GB2312"/>
          <w:sz w:val="32"/>
          <w:szCs w:val="32"/>
        </w:rPr>
        <w:t>负责制定本市长护险委托经办机构考核清算办法。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医保经办机构负责考核清算具体实施工作。委托经办机构配合做好考核清算工作。</w:t>
      </w:r>
    </w:p>
    <w:p w:rsidR="000A21A3" w:rsidRDefault="000A21A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:rsidR="000A21A3" w:rsidRDefault="00C80BC4">
      <w:pPr>
        <w:tabs>
          <w:tab w:val="left" w:pos="0"/>
        </w:tabs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第二章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内容和指标</w:t>
      </w:r>
    </w:p>
    <w:p w:rsidR="000A21A3" w:rsidRDefault="000A21A3">
      <w:pPr>
        <w:spacing w:line="578" w:lineRule="exact"/>
        <w:ind w:firstLineChars="200" w:firstLine="640"/>
        <w:rPr>
          <w:rFonts w:eastAsia="黑体"/>
          <w:bCs/>
          <w:sz w:val="32"/>
          <w:szCs w:val="32"/>
        </w:rPr>
      </w:pP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第五条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以委托经办服务实绩为重点，以服务对象满意度为基础，聚焦长护险委托经办的内部制度建设及执行情况、经办管</w:t>
      </w:r>
      <w:r>
        <w:rPr>
          <w:rFonts w:eastAsia="仿宋_GB2312"/>
          <w:sz w:val="32"/>
          <w:szCs w:val="32"/>
        </w:rPr>
        <w:lastRenderedPageBreak/>
        <w:t>理和服务能力情况</w:t>
      </w:r>
      <w:r>
        <w:rPr>
          <w:rFonts w:eastAsia="仿宋_GB2312"/>
          <w:sz w:val="32"/>
          <w:szCs w:val="32"/>
        </w:rPr>
        <w:t>、信息管理情况、基金管理情况、风险防控情况、投标承诺兑现情况等方面进行</w:t>
      </w:r>
      <w:r>
        <w:rPr>
          <w:rFonts w:eastAsia="仿宋_GB2312"/>
          <w:sz w:val="32"/>
          <w:szCs w:val="32"/>
        </w:rPr>
        <w:t>考核清算。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委托经办机构应建立健全与长护险管理相适应的人员及设施管理、财务管理、公文管理、档案管理、风险防控和巡查稽核、业务经办意见和规程等规范或制度，有内部执行文件并严格贯彻落实。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第七条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经办管理和服务能力情况应重点将机构及人员、失能评估、护理服务、巡查检查</w:t>
      </w:r>
      <w:r>
        <w:rPr>
          <w:rFonts w:eastAsia="仿宋_GB2312" w:hint="eastAsia"/>
          <w:sz w:val="32"/>
          <w:szCs w:val="32"/>
        </w:rPr>
        <w:t>、质控投诉、组织管理和综合指标</w:t>
      </w:r>
      <w:r>
        <w:rPr>
          <w:rFonts w:eastAsia="仿宋_GB2312"/>
          <w:sz w:val="32"/>
          <w:szCs w:val="32"/>
        </w:rPr>
        <w:t>等经办工作开展情况纳入考核</w:t>
      </w:r>
      <w:r>
        <w:rPr>
          <w:rFonts w:eastAsia="仿宋_GB2312"/>
          <w:sz w:val="32"/>
          <w:szCs w:val="32"/>
        </w:rPr>
        <w:t>清算范围，客观体现服务能力。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lang w:val="zh-CN"/>
        </w:rPr>
        <w:t>委托经办机构应加强对信息系统操作培训和权限管理，根据运行情况，及时</w:t>
      </w:r>
      <w:r>
        <w:rPr>
          <w:rFonts w:eastAsia="仿宋_GB2312" w:hint="eastAsia"/>
          <w:sz w:val="32"/>
          <w:szCs w:val="32"/>
        </w:rPr>
        <w:t>维护信息数据，</w:t>
      </w:r>
      <w:r>
        <w:rPr>
          <w:rFonts w:eastAsia="仿宋_GB2312"/>
          <w:sz w:val="32"/>
          <w:szCs w:val="32"/>
          <w:lang w:val="zh-CN"/>
        </w:rPr>
        <w:t>提出长护险系统需求建议，并确保工作人员熟练运用信息系统，及时信息推送，控制信息使用范围，切实加强数据安全。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第九条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委托经办机构应严格执行财务列支和会计核算制度，对长护险基金单独建账、独立核算，规范财务报表，相关原始凭证与电子或纸质账套相符。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第十条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委托经办机构在经办服务中，应切实加强风险管控，投诉举报</w:t>
      </w:r>
      <w:r>
        <w:rPr>
          <w:rFonts w:eastAsia="仿宋_GB2312"/>
          <w:sz w:val="32"/>
          <w:szCs w:val="32"/>
        </w:rPr>
        <w:t>及受理办结</w:t>
      </w:r>
      <w:r>
        <w:rPr>
          <w:rFonts w:eastAsia="仿宋_GB2312"/>
          <w:sz w:val="32"/>
          <w:szCs w:val="32"/>
        </w:rPr>
        <w:t>，实施绩效评价，加强对异常数据筛查管理，严格廉洁自律，</w:t>
      </w:r>
      <w:r>
        <w:rPr>
          <w:rFonts w:eastAsia="仿宋_GB2312" w:hint="eastAsia"/>
          <w:sz w:val="32"/>
          <w:szCs w:val="32"/>
        </w:rPr>
        <w:t>落实保密安全工作，</w:t>
      </w:r>
      <w:r>
        <w:rPr>
          <w:rFonts w:eastAsia="仿宋_GB2312"/>
          <w:sz w:val="32"/>
          <w:szCs w:val="32"/>
        </w:rPr>
        <w:t>开展满意度调查。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第十一条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聚焦委托经办机构经办人员配置及要求、办公场所及要求、办公设备及要求、日常运营要求、培训宣传要求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档案管理要求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财务审计要求</w:t>
      </w:r>
      <w:r>
        <w:rPr>
          <w:rFonts w:eastAsia="仿宋_GB2312" w:hint="eastAsia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，以及委托经办服务费实际执行情</w:t>
      </w:r>
      <w:r>
        <w:rPr>
          <w:rFonts w:eastAsia="仿宋_GB2312"/>
          <w:sz w:val="32"/>
          <w:szCs w:val="32"/>
        </w:rPr>
        <w:lastRenderedPageBreak/>
        <w:t>况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兑现情况进行考核，建立承诺制考核机制。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结合委托经办机构对协议机构考核清算等情况，市医保经办机构开展对委托经办机构长护险基金清算，做到账账相符、账实相符；依据委托经办机构考核结果</w:t>
      </w:r>
      <w:r>
        <w:rPr>
          <w:rFonts w:eastAsia="仿宋_GB2312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经办服务费清算，做到激励约束。</w:t>
      </w:r>
    </w:p>
    <w:p w:rsidR="000A21A3" w:rsidRDefault="000A21A3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:rsidR="000A21A3" w:rsidRDefault="00C80BC4">
      <w:pPr>
        <w:spacing w:line="578" w:lineRule="exact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第三章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方法和程序</w:t>
      </w:r>
    </w:p>
    <w:p w:rsidR="000A21A3" w:rsidRDefault="000A21A3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考核清算工作</w:t>
      </w:r>
      <w:r>
        <w:rPr>
          <w:rFonts w:eastAsia="仿宋_GB2312" w:hint="eastAsia"/>
          <w:sz w:val="32"/>
          <w:szCs w:val="32"/>
        </w:rPr>
        <w:t>由市医保经办</w:t>
      </w:r>
      <w:r>
        <w:rPr>
          <w:rFonts w:eastAsia="仿宋_GB2312"/>
          <w:sz w:val="32"/>
          <w:szCs w:val="32"/>
        </w:rPr>
        <w:t>机构组织</w:t>
      </w:r>
      <w:r>
        <w:rPr>
          <w:rFonts w:eastAsia="仿宋_GB2312" w:hint="eastAsia"/>
          <w:sz w:val="32"/>
          <w:szCs w:val="32"/>
        </w:rPr>
        <w:t>开展</w:t>
      </w:r>
      <w:r>
        <w:rPr>
          <w:rFonts w:eastAsia="仿宋_GB2312"/>
          <w:sz w:val="32"/>
          <w:szCs w:val="32"/>
        </w:rPr>
        <w:t>，具体按照</w:t>
      </w:r>
      <w:r>
        <w:rPr>
          <w:rFonts w:eastAsia="仿宋_GB2312" w:hint="eastAsia"/>
          <w:sz w:val="32"/>
          <w:szCs w:val="32"/>
        </w:rPr>
        <w:t>机构自查、实地考核、考核评议等流程进行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考核清算工作以各委托经办机构为考核</w:t>
      </w:r>
      <w:r>
        <w:rPr>
          <w:rFonts w:eastAsia="仿宋_GB2312"/>
          <w:sz w:val="32"/>
          <w:szCs w:val="32"/>
        </w:rPr>
        <w:t>对象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考核结果采用百分制。</w:t>
      </w:r>
      <w:r>
        <w:rPr>
          <w:rFonts w:eastAsia="仿宋_GB2312"/>
          <w:sz w:val="32"/>
          <w:szCs w:val="32"/>
        </w:rPr>
        <w:t>各委托经办机构</w:t>
      </w:r>
      <w:r>
        <w:rPr>
          <w:rFonts w:eastAsia="仿宋_GB2312" w:hint="eastAsia"/>
          <w:sz w:val="32"/>
          <w:szCs w:val="32"/>
        </w:rPr>
        <w:t>考核总得分</w:t>
      </w:r>
      <w:r>
        <w:rPr>
          <w:rFonts w:eastAsia="仿宋_GB2312"/>
          <w:sz w:val="32"/>
          <w:szCs w:val="32"/>
        </w:rPr>
        <w:t>由委托经办</w:t>
      </w:r>
      <w:r>
        <w:rPr>
          <w:rFonts w:eastAsia="仿宋_GB2312" w:hint="eastAsia"/>
          <w:sz w:val="32"/>
          <w:szCs w:val="32"/>
        </w:rPr>
        <w:t>机构</w:t>
      </w:r>
      <w:r>
        <w:rPr>
          <w:rFonts w:eastAsia="仿宋_GB2312" w:hint="eastAsia"/>
          <w:w w:val="95"/>
          <w:sz w:val="32"/>
          <w:szCs w:val="32"/>
        </w:rPr>
        <w:t>得分、辖区分中心得分、市级综合服务中心得分加权平均</w:t>
      </w:r>
      <w:r>
        <w:rPr>
          <w:rFonts w:eastAsia="仿宋_GB2312"/>
          <w:w w:val="95"/>
          <w:sz w:val="32"/>
          <w:szCs w:val="32"/>
        </w:rPr>
        <w:t>后形成</w:t>
      </w:r>
      <w:r>
        <w:rPr>
          <w:rFonts w:eastAsia="仿宋_GB2312" w:hint="eastAsia"/>
          <w:w w:val="95"/>
          <w:sz w:val="32"/>
          <w:szCs w:val="32"/>
        </w:rPr>
        <w:t>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cs="仿宋_GB2312" w:hint="eastAsia"/>
          <w:sz w:val="32"/>
          <w:szCs w:val="32"/>
        </w:rPr>
        <w:t>市医保经办机构应结合经办工作实际，</w:t>
      </w:r>
      <w:r>
        <w:rPr>
          <w:rFonts w:eastAsia="仿宋_GB2312" w:cs="仿宋_GB2312"/>
          <w:sz w:val="32"/>
          <w:szCs w:val="32"/>
        </w:rPr>
        <w:t>在制定考核清算工作方案时，</w:t>
      </w:r>
      <w:r>
        <w:rPr>
          <w:rFonts w:eastAsia="仿宋_GB2312" w:cs="仿宋_GB2312" w:hint="eastAsia"/>
          <w:sz w:val="32"/>
          <w:szCs w:val="32"/>
        </w:rPr>
        <w:t>细化项目指标和权重，确定各项指标的考核对象与评分方法，</w:t>
      </w:r>
      <w:r>
        <w:rPr>
          <w:rFonts w:eastAsia="仿宋_GB2312" w:cs="仿宋_GB2312"/>
          <w:sz w:val="32"/>
          <w:szCs w:val="32"/>
        </w:rPr>
        <w:t>确保考核工作客观、真实、全面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考核清算</w:t>
      </w:r>
      <w:r>
        <w:rPr>
          <w:rFonts w:eastAsia="仿宋_GB2312" w:hint="eastAsia"/>
          <w:sz w:val="32"/>
          <w:szCs w:val="32"/>
        </w:rPr>
        <w:t>原则上</w:t>
      </w:r>
      <w:r>
        <w:rPr>
          <w:rFonts w:eastAsia="仿宋_GB2312"/>
          <w:sz w:val="32"/>
          <w:szCs w:val="32"/>
        </w:rPr>
        <w:t>按年度进行。对于年中招标后更换委托经办机构的，可在当年度年终进行考核清算。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第十</w:t>
      </w:r>
      <w:r>
        <w:rPr>
          <w:rFonts w:eastAsia="黑体"/>
          <w:sz w:val="32"/>
          <w:szCs w:val="32"/>
        </w:rPr>
        <w:t>七</w:t>
      </w:r>
      <w:r>
        <w:rPr>
          <w:rFonts w:eastAsia="黑体" w:hint="eastAsia"/>
          <w:sz w:val="32"/>
          <w:szCs w:val="32"/>
        </w:rPr>
        <w:t>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医保经办机构</w:t>
      </w:r>
      <w:r>
        <w:rPr>
          <w:rFonts w:eastAsia="仿宋_GB2312"/>
          <w:sz w:val="32"/>
          <w:szCs w:val="32"/>
        </w:rPr>
        <w:t>对于考核清算过程要切实做好档案归档工作，相关资料要妥善保管。</w:t>
      </w:r>
    </w:p>
    <w:p w:rsidR="000A21A3" w:rsidRDefault="000A21A3">
      <w:pPr>
        <w:spacing w:line="578" w:lineRule="exact"/>
        <w:rPr>
          <w:rFonts w:eastAsia="黑体"/>
          <w:sz w:val="32"/>
          <w:szCs w:val="32"/>
        </w:rPr>
      </w:pPr>
    </w:p>
    <w:p w:rsidR="000A21A3" w:rsidRDefault="00C80BC4">
      <w:pPr>
        <w:spacing w:line="578" w:lineRule="exact"/>
        <w:jc w:val="center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第四章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结果和应用</w:t>
      </w:r>
    </w:p>
    <w:p w:rsidR="000A21A3" w:rsidRDefault="000A21A3">
      <w:pPr>
        <w:spacing w:line="578" w:lineRule="exact"/>
        <w:rPr>
          <w:rFonts w:eastAsia="黑体"/>
          <w:bCs/>
          <w:sz w:val="32"/>
          <w:szCs w:val="32"/>
        </w:rPr>
      </w:pP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第十八条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各委托经办机构的考核清算结果与其委托</w:t>
      </w:r>
      <w:r>
        <w:rPr>
          <w:rFonts w:eastAsia="仿宋_GB2312"/>
          <w:sz w:val="32"/>
          <w:szCs w:val="32"/>
        </w:rPr>
        <w:t>经办服务费</w:t>
      </w:r>
      <w:r>
        <w:rPr>
          <w:rFonts w:eastAsia="仿宋_GB2312"/>
          <w:sz w:val="32"/>
          <w:szCs w:val="32"/>
        </w:rPr>
        <w:t>拨付挂钩，具体</w:t>
      </w:r>
      <w:r>
        <w:rPr>
          <w:rFonts w:eastAsia="仿宋_GB2312"/>
          <w:sz w:val="32"/>
          <w:szCs w:val="32"/>
        </w:rPr>
        <w:t>在服务协议中</w:t>
      </w:r>
      <w:r>
        <w:rPr>
          <w:rFonts w:eastAsia="仿宋_GB2312"/>
          <w:sz w:val="32"/>
          <w:szCs w:val="32"/>
        </w:rPr>
        <w:t>予以明确。考核结果直接通报委托经办机构天津分公司及总公司</w:t>
      </w:r>
      <w:r>
        <w:rPr>
          <w:rFonts w:eastAsia="仿宋_GB2312"/>
          <w:sz w:val="32"/>
          <w:szCs w:val="32"/>
        </w:rPr>
        <w:t>、相关委办局</w:t>
      </w:r>
      <w:r>
        <w:rPr>
          <w:rFonts w:eastAsia="仿宋_GB2312"/>
          <w:sz w:val="32"/>
          <w:szCs w:val="32"/>
        </w:rPr>
        <w:t>。</w:t>
      </w:r>
    </w:p>
    <w:p w:rsidR="000A21A3" w:rsidRDefault="00C80BC4">
      <w:pPr>
        <w:spacing w:line="578" w:lineRule="exact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 xml:space="preserve">    </w:t>
      </w:r>
      <w:r>
        <w:rPr>
          <w:rFonts w:eastAsia="黑体" w:hint="eastAsia"/>
          <w:bCs/>
          <w:sz w:val="32"/>
          <w:szCs w:val="32"/>
        </w:rPr>
        <w:t>第十九条</w:t>
      </w:r>
      <w:r>
        <w:rPr>
          <w:rFonts w:eastAsia="黑体" w:hint="eastAsia"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委托经办机构及其工作</w:t>
      </w:r>
      <w:r>
        <w:rPr>
          <w:rFonts w:eastAsia="仿宋_GB2312"/>
          <w:sz w:val="32"/>
          <w:szCs w:val="32"/>
        </w:rPr>
        <w:t>人员出现重大违规违法事件，纳入巡视、审计、纪检、公安、金融监督等部门有关报告事项，</w:t>
      </w:r>
      <w:r>
        <w:rPr>
          <w:rFonts w:eastAsia="仿宋_GB2312"/>
          <w:sz w:val="32"/>
          <w:szCs w:val="32"/>
        </w:rPr>
        <w:t>应在考核指标中予以体现，</w:t>
      </w:r>
      <w:r>
        <w:rPr>
          <w:rFonts w:eastAsia="仿宋_GB2312"/>
          <w:sz w:val="32"/>
          <w:szCs w:val="32"/>
        </w:rPr>
        <w:t>造成基金损失的从委托经办服务费中扣除。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</w:t>
      </w:r>
      <w:r>
        <w:rPr>
          <w:rFonts w:eastAsia="黑体"/>
          <w:bCs/>
          <w:sz w:val="32"/>
          <w:szCs w:val="32"/>
        </w:rPr>
        <w:t>二十</w:t>
      </w:r>
      <w:r>
        <w:rPr>
          <w:rFonts w:eastAsia="黑体" w:hint="eastAsia"/>
          <w:bCs/>
          <w:sz w:val="32"/>
          <w:szCs w:val="32"/>
        </w:rPr>
        <w:t>条</w:t>
      </w:r>
      <w:r>
        <w:rPr>
          <w:rFonts w:eastAsia="黑体"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对于因考核清算结果较差，影响委托经办实效的，市医保经办机构可以采取约谈、</w:t>
      </w:r>
      <w:r>
        <w:rPr>
          <w:rFonts w:eastAsia="仿宋_GB2312"/>
          <w:sz w:val="32"/>
          <w:szCs w:val="32"/>
        </w:rPr>
        <w:t>责令限期整改等措施督促提高服务质量。对于</w:t>
      </w:r>
      <w:r>
        <w:rPr>
          <w:rFonts w:eastAsia="仿宋_GB2312"/>
          <w:sz w:val="32"/>
          <w:szCs w:val="32"/>
        </w:rPr>
        <w:t>严重违反服务协议约定的，应</w:t>
      </w:r>
      <w:r>
        <w:rPr>
          <w:rFonts w:eastAsia="仿宋_GB2312"/>
          <w:sz w:val="32"/>
          <w:szCs w:val="32"/>
        </w:rPr>
        <w:t>终止合作协议，并建议行业主管部门统筹考虑纳入保险行业风险评级考核、失信惩戒范畴</w:t>
      </w:r>
      <w:r>
        <w:rPr>
          <w:rFonts w:eastAsia="仿宋_GB2312"/>
          <w:sz w:val="32"/>
          <w:szCs w:val="32"/>
        </w:rPr>
        <w:t>。</w:t>
      </w:r>
    </w:p>
    <w:p w:rsidR="000A21A3" w:rsidRDefault="00C80BC4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第二十一条</w:t>
      </w:r>
      <w:r>
        <w:rPr>
          <w:rFonts w:eastAsia="黑体"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各委托经办机构</w:t>
      </w:r>
      <w:r>
        <w:rPr>
          <w:rFonts w:eastAsia="仿宋_GB2312"/>
          <w:sz w:val="32"/>
          <w:szCs w:val="32"/>
        </w:rPr>
        <w:t>应制定长护险工作人员管理制度，并报送至市医保经办机构。委托经办</w:t>
      </w:r>
      <w:r>
        <w:rPr>
          <w:rFonts w:eastAsia="仿宋_GB2312"/>
          <w:sz w:val="32"/>
          <w:szCs w:val="32"/>
        </w:rPr>
        <w:t>应将考核结果</w:t>
      </w:r>
      <w:r>
        <w:rPr>
          <w:rFonts w:eastAsia="仿宋_GB2312"/>
          <w:sz w:val="32"/>
          <w:szCs w:val="32"/>
        </w:rPr>
        <w:t>作为工作人员工资薪酬、任职和评先评优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</w:rPr>
        <w:t>考虑因素</w:t>
      </w:r>
      <w:r>
        <w:rPr>
          <w:rFonts w:eastAsia="仿宋_GB2312"/>
          <w:sz w:val="32"/>
          <w:szCs w:val="32"/>
        </w:rPr>
        <w:t>。因重大违规违法造成基金损失和恶劣影响的，委托经办机构应按内部规定对工作人员和主管人员予以严肃处理、追责问责。</w:t>
      </w:r>
    </w:p>
    <w:p w:rsidR="000A21A3" w:rsidRDefault="000A21A3">
      <w:pPr>
        <w:spacing w:line="578" w:lineRule="exact"/>
        <w:rPr>
          <w:rFonts w:eastAsia="仿宋_GB2312"/>
          <w:sz w:val="32"/>
          <w:szCs w:val="32"/>
        </w:rPr>
      </w:pPr>
    </w:p>
    <w:p w:rsidR="000A21A3" w:rsidRDefault="00C80BC4">
      <w:pPr>
        <w:spacing w:line="578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第五章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附则</w:t>
      </w:r>
    </w:p>
    <w:p w:rsidR="000A21A3" w:rsidRDefault="000A21A3">
      <w:pPr>
        <w:spacing w:line="578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</w:p>
    <w:p w:rsidR="000A21A3" w:rsidRDefault="00C80BC4">
      <w:pPr>
        <w:spacing w:line="57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第二十</w:t>
      </w:r>
      <w:r>
        <w:rPr>
          <w:rFonts w:eastAsia="黑体"/>
          <w:bCs/>
          <w:sz w:val="32"/>
          <w:szCs w:val="32"/>
        </w:rPr>
        <w:t>二</w:t>
      </w:r>
      <w:r>
        <w:rPr>
          <w:rFonts w:eastAsia="黑体" w:hint="eastAsia"/>
          <w:bCs/>
          <w:sz w:val="32"/>
          <w:szCs w:val="32"/>
        </w:rPr>
        <w:t>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本办法由</w:t>
      </w:r>
      <w:r>
        <w:rPr>
          <w:rFonts w:eastAsia="仿宋_GB2312"/>
          <w:sz w:val="32"/>
          <w:szCs w:val="32"/>
        </w:rPr>
        <w:t>市</w:t>
      </w:r>
      <w:r>
        <w:rPr>
          <w:rFonts w:eastAsia="仿宋_GB2312"/>
          <w:sz w:val="32"/>
          <w:szCs w:val="32"/>
        </w:rPr>
        <w:t>医疗保障行政部门负责解释。</w:t>
      </w:r>
    </w:p>
    <w:p w:rsidR="000A21A3" w:rsidRDefault="00C80BC4">
      <w:pPr>
        <w:spacing w:line="578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第二十</w:t>
      </w:r>
      <w:r>
        <w:rPr>
          <w:rFonts w:eastAsia="黑体"/>
          <w:bCs/>
          <w:sz w:val="32"/>
          <w:szCs w:val="32"/>
        </w:rPr>
        <w:t>三</w:t>
      </w:r>
      <w:r>
        <w:rPr>
          <w:rFonts w:eastAsia="黑体" w:hint="eastAsia"/>
          <w:bCs/>
          <w:sz w:val="32"/>
          <w:szCs w:val="32"/>
        </w:rPr>
        <w:t>条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本办法自</w:t>
      </w:r>
      <w:r>
        <w:rPr>
          <w:rFonts w:eastAsia="仿宋_GB2312"/>
          <w:sz w:val="32"/>
          <w:szCs w:val="32"/>
        </w:rPr>
        <w:t>印发之日</w:t>
      </w:r>
      <w:r>
        <w:rPr>
          <w:rFonts w:eastAsia="仿宋_GB2312"/>
          <w:sz w:val="32"/>
          <w:szCs w:val="32"/>
        </w:rPr>
        <w:t>起</w:t>
      </w:r>
      <w:r>
        <w:rPr>
          <w:rFonts w:eastAsia="仿宋_GB2312"/>
          <w:sz w:val="32"/>
          <w:szCs w:val="32"/>
        </w:rPr>
        <w:t>施行</w:t>
      </w:r>
      <w:r>
        <w:rPr>
          <w:rFonts w:eastAsia="仿宋_GB2312"/>
          <w:sz w:val="32"/>
          <w:szCs w:val="32"/>
        </w:rPr>
        <w:t>，有效期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年。</w:t>
      </w:r>
      <w:r>
        <w:rPr>
          <w:rFonts w:eastAsia="仿宋_GB2312"/>
          <w:sz w:val="32"/>
          <w:szCs w:val="32"/>
        </w:rPr>
        <w:t>《市医保局关于印发</w:t>
      </w:r>
      <w:r>
        <w:rPr>
          <w:rFonts w:eastAsia="仿宋_GB2312"/>
          <w:sz w:val="32"/>
          <w:szCs w:val="32"/>
        </w:rPr>
        <w:t>&lt;</w:t>
      </w:r>
      <w:r>
        <w:rPr>
          <w:rFonts w:eastAsia="仿宋_GB2312" w:hint="eastAsia"/>
          <w:sz w:val="32"/>
          <w:szCs w:val="32"/>
        </w:rPr>
        <w:t>天津市长期护理保险委托经办机构考核清算办法</w:t>
      </w:r>
      <w:r>
        <w:rPr>
          <w:rFonts w:eastAsia="仿宋_GB2312"/>
          <w:sz w:val="32"/>
          <w:szCs w:val="32"/>
        </w:rPr>
        <w:t>（试行）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  <w:sz w:val="32"/>
          <w:szCs w:val="32"/>
        </w:rPr>
        <w:t>的通知</w:t>
      </w:r>
      <w:r>
        <w:rPr>
          <w:rFonts w:eastAsia="仿宋_GB2312"/>
          <w:sz w:val="32"/>
          <w:szCs w:val="32"/>
        </w:rPr>
        <w:t>》（</w:t>
      </w:r>
      <w:r>
        <w:rPr>
          <w:rFonts w:eastAsia="仿宋_GB2312" w:hint="eastAsia"/>
          <w:sz w:val="32"/>
          <w:szCs w:val="32"/>
        </w:rPr>
        <w:t>津医保</w:t>
      </w:r>
      <w:r>
        <w:rPr>
          <w:rFonts w:eastAsia="仿宋_GB2312"/>
          <w:sz w:val="32"/>
          <w:szCs w:val="32"/>
        </w:rPr>
        <w:t>局发</w:t>
      </w:r>
      <w:r>
        <w:rPr>
          <w:rFonts w:eastAsia="仿宋_GB2312" w:hint="eastAsia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29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）废止。</w:t>
      </w:r>
    </w:p>
    <w:p w:rsidR="000A21A3" w:rsidRDefault="000A21A3">
      <w:pPr>
        <w:pStyle w:val="50"/>
        <w:widowControl w:val="0"/>
        <w:autoSpaceDE/>
        <w:autoSpaceDN/>
        <w:spacing w:line="578" w:lineRule="exact"/>
        <w:ind w:left="0" w:firstLine="0"/>
        <w:rPr>
          <w:rFonts w:eastAsia="仿宋_GB2312" w:cs="仿宋_GB2312"/>
          <w:sz w:val="32"/>
          <w:szCs w:val="32"/>
        </w:rPr>
      </w:pPr>
    </w:p>
    <w:p w:rsidR="000A21A3" w:rsidRDefault="000A21A3" w:rsidP="00C80BC4">
      <w:pPr>
        <w:spacing w:line="578" w:lineRule="exact"/>
        <w:ind w:rightChars="100" w:right="210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0A21A3">
      <w:pgSz w:w="11906" w:h="16838"/>
      <w:pgMar w:top="2098" w:right="1474" w:bottom="1984" w:left="1587" w:header="851" w:footer="1134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0BC4">
      <w:r>
        <w:separator/>
      </w:r>
    </w:p>
  </w:endnote>
  <w:endnote w:type="continuationSeparator" w:id="0">
    <w:p w:rsidR="00000000" w:rsidRDefault="00C8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小标宋">
    <w:altName w:val="宋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A3" w:rsidRDefault="00C80BC4">
    <w:pPr>
      <w:pStyle w:val="a0"/>
      <w:ind w:firstLineChars="100" w:firstLine="280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3665" distR="113665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49910" cy="26479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113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0A21A3" w:rsidRDefault="00C80BC4">
                          <w:pPr>
                            <w:pStyle w:val="a0"/>
                            <w:ind w:firstLineChars="100" w:firstLine="280"/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80BC4">
                            <w:rPr>
                              <w:rFonts w:asci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left:0;text-align:left;margin-left:-7.9pt;margin-top:0;width:43.3pt;height:20.85pt;z-index:251656704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" filled="f" stroked="f">
              <v:stroke joinstyle="round"/>
              <v:textbox style="mso-fit-shape-to-text:t" inset="0,0,0,0">
                <w:txbxContent>
                  <w:p w:rsidR="000A21A3" w:rsidRDefault="00C80BC4">
                    <w:pPr>
                      <w:pStyle w:val="a0"/>
                      <w:ind w:firstLineChars="100" w:firstLine="280"/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 w:rsidRPr="00C80BC4">
                      <w:rPr>
                        <w:rFonts w:asci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noProof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A3" w:rsidRDefault="00C80BC4">
    <w:pPr>
      <w:pStyle w:val="a0"/>
      <w:wordWrap w:val="0"/>
      <w:jc w:val="right"/>
      <w:rPr>
        <w:rFonts w:asci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3665" distR="113665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313" cy="26476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0A21A3" w:rsidRDefault="00C80BC4">
                          <w:pPr>
                            <w:pStyle w:val="a0"/>
                            <w:wordWrap w:val="0"/>
                            <w:jc w:val="right"/>
                          </w:pP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80BC4">
                            <w:rPr>
                              <w:rFonts w:asci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7" style="position:absolute;left:0;text-align:left;margin-left:-21.9pt;margin-top:0;width:29.3pt;height:20.85pt;z-index:251657728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" filled="f" stroked="f">
              <v:stroke joinstyle="round"/>
              <v:textbox style="mso-fit-shape-to-text:t" inset="0,0,0,0">
                <w:txbxContent>
                  <w:p w:rsidR="000A21A3" w:rsidRDefault="00C80BC4">
                    <w:pPr>
                      <w:pStyle w:val="a0"/>
                      <w:wordWrap w:val="0"/>
                      <w:jc w:val="right"/>
                    </w:pP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separate"/>
                    </w:r>
                    <w:r w:rsidRPr="00C80BC4">
                      <w:rPr>
                        <w:rFonts w:asci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A3" w:rsidRDefault="00C80BC4">
    <w:pPr>
      <w:pStyle w:val="a0"/>
    </w:pPr>
    <w:r>
      <w:rPr>
        <w:noProof/>
      </w:rPr>
      <mc:AlternateContent>
        <mc:Choice Requires="wps">
          <w:drawing>
            <wp:anchor distT="0" distB="0" distL="113665" distR="113665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2110" cy="264795"/>
              <wp:effectExtent l="0" t="0" r="0" b="0"/>
              <wp:wrapNone/>
              <wp:docPr id="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313" cy="2647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0A21A3" w:rsidRDefault="00C80BC4">
                          <w:pPr>
                            <w:pStyle w:val="a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8" style="position:absolute;margin-left:-21.9pt;margin-top:0;width:29.3pt;height:20.85pt;z-index:251658752;visibility:visible;mso-wrap-style:none;mso-wrap-distance-left:8.95pt;mso-wrap-distance-top:0;mso-wrap-distance-right:8.95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" filled="f" stroked="f">
              <v:stroke joinstyle="round"/>
              <v:textbox style="mso-fit-shape-to-text:t" inset="0,0,0,0">
                <w:txbxContent>
                  <w:p w:rsidR="000A21A3" w:rsidRDefault="00C80BC4">
                    <w:pPr>
                      <w:pStyle w:val="a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0BC4">
      <w:r>
        <w:separator/>
      </w:r>
    </w:p>
  </w:footnote>
  <w:footnote w:type="continuationSeparator" w:id="0">
    <w:p w:rsidR="00000000" w:rsidRDefault="00C8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BF6"/>
    <w:multiLevelType w:val="multilevel"/>
    <w:tmpl w:val="57077BF6"/>
    <w:lvl w:ilvl="0">
      <w:start w:val="1"/>
      <w:numFmt w:val="decimal"/>
      <w:pStyle w:val="1"/>
      <w:suff w:val="space"/>
      <w:lvlText w:val="%1."/>
      <w:lvlJc w:val="left"/>
      <w:pPr>
        <w:tabs>
          <w:tab w:val="left" w:pos="0"/>
        </w:tabs>
        <w:ind w:left="502" w:hanging="360"/>
      </w:pPr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32"/>
        <w:u w:val="none"/>
        <w:vertAlign w:val="baseline"/>
      </w:rPr>
    </w:lvl>
    <w:lvl w:ilvl="1">
      <w:start w:val="1"/>
      <w:numFmt w:val="decimal"/>
      <w:lvlText w:val="%1.%2 "/>
      <w:lvlJc w:val="left"/>
      <w:pPr>
        <w:tabs>
          <w:tab w:val="left" w:pos="0"/>
        </w:tabs>
        <w:ind w:left="61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4.4.%3 "/>
      <w:lvlJc w:val="left"/>
      <w:pPr>
        <w:tabs>
          <w:tab w:val="left" w:pos="0"/>
        </w:tabs>
        <w:ind w:left="1224" w:hanging="1224"/>
      </w:pPr>
      <w:rPr>
        <w:rFonts w:cs="Times New Roman"/>
      </w:rPr>
    </w:lvl>
    <w:lvl w:ilvl="3">
      <w:start w:val="1"/>
      <w:numFmt w:val="decimal"/>
      <w:lvlText w:val="3.%2.%3.%4 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7698760E"/>
    <w:multiLevelType w:val="multilevel"/>
    <w:tmpl w:val="7698760E"/>
    <w:lvl w:ilvl="0">
      <w:start w:val="5"/>
      <w:numFmt w:val="decimal"/>
      <w:pStyle w:val="0"/>
      <w:lvlText w:val="%1."/>
      <w:lvlJc w:val="left"/>
      <w:pPr>
        <w:tabs>
          <w:tab w:val="left" w:pos="0"/>
        </w:tabs>
        <w:ind w:left="360" w:hanging="360"/>
      </w:pPr>
      <w:rPr>
        <w:rFonts w:cs="Times New Roman"/>
      </w:rPr>
    </w:lvl>
    <w:lvl w:ilvl="1">
      <w:start w:val="2"/>
      <w:numFmt w:val="decimal"/>
      <w:lvlRestart w:val="0"/>
      <w:lvlText w:val="%1.%2 "/>
      <w:lvlJc w:val="left"/>
      <w:pPr>
        <w:tabs>
          <w:tab w:val="left" w:pos="0"/>
        </w:tabs>
        <w:ind w:left="972" w:hanging="432"/>
      </w:pPr>
      <w:rPr>
        <w:rFonts w:cs="Times New Roman"/>
      </w:rPr>
    </w:lvl>
    <w:lvl w:ilvl="2">
      <w:start w:val="1"/>
      <w:numFmt w:val="decimal"/>
      <w:lvlText w:val="1.7.%3"/>
      <w:lvlJc w:val="left"/>
      <w:pPr>
        <w:tabs>
          <w:tab w:val="left" w:pos="0"/>
        </w:tabs>
        <w:ind w:left="1404" w:hanging="1224"/>
      </w:pPr>
      <w:rPr>
        <w:rFonts w:cs="Times New Roman"/>
      </w:rPr>
    </w:lvl>
    <w:lvl w:ilvl="3">
      <w:start w:val="1"/>
      <w:numFmt w:val="decimal"/>
      <w:lvlText w:val="1.8.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</w:compat>
  <w:rsids>
    <w:rsidRoot w:val="000A21A3"/>
    <w:rsid w:val="FFA7397A"/>
    <w:rsid w:val="000A21A3"/>
    <w:rsid w:val="00C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10415"/>
  <w15:docId w15:val="{932C1952-1851-4FBF-A276-E4019EB8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Lines="50" w:before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paragraph" w:styleId="5">
    <w:name w:val="heading 5"/>
    <w:basedOn w:val="a"/>
    <w:next w:val="a"/>
    <w:qFormat/>
    <w:pPr>
      <w:keepNext/>
      <w:keepLines/>
      <w:widowControl/>
      <w:autoSpaceDE w:val="0"/>
      <w:autoSpaceDN w:val="0"/>
      <w:adjustRightInd w:val="0"/>
      <w:spacing w:before="280" w:after="290" w:line="374" w:lineRule="auto"/>
      <w:jc w:val="lef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0">
    <w:name w:val="index 5"/>
    <w:basedOn w:val="a"/>
    <w:next w:val="a"/>
    <w:qFormat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70">
    <w:name w:val="toc 7"/>
    <w:basedOn w:val="a"/>
    <w:next w:val="a"/>
    <w:qFormat/>
    <w:pPr>
      <w:ind w:left="1260"/>
      <w:jc w:val="left"/>
    </w:pPr>
    <w:rPr>
      <w:rFonts w:ascii="Calibri" w:eastAsia="Calibri" w:hAnsi="Calibri"/>
      <w:sz w:val="18"/>
      <w:szCs w:val="18"/>
    </w:rPr>
  </w:style>
  <w:style w:type="paragraph" w:styleId="80">
    <w:name w:val="index 8"/>
    <w:basedOn w:val="a"/>
    <w:next w:val="a"/>
    <w:qFormat/>
    <w:pPr>
      <w:widowControl/>
      <w:autoSpaceDE w:val="0"/>
      <w:autoSpaceDN w:val="0"/>
      <w:adjustRightInd w:val="0"/>
      <w:ind w:left="1920" w:hanging="240"/>
      <w:jc w:val="left"/>
    </w:pPr>
    <w:rPr>
      <w:kern w:val="0"/>
      <w:sz w:val="20"/>
    </w:rPr>
  </w:style>
  <w:style w:type="paragraph" w:styleId="a4">
    <w:name w:val="Document Map"/>
    <w:basedOn w:val="a"/>
    <w:qFormat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0"/>
    </w:rPr>
  </w:style>
  <w:style w:type="paragraph" w:styleId="a5">
    <w:name w:val="annotation text"/>
    <w:basedOn w:val="a"/>
    <w:qFormat/>
    <w:pPr>
      <w:jc w:val="left"/>
    </w:pPr>
  </w:style>
  <w:style w:type="paragraph" w:styleId="60">
    <w:name w:val="index 6"/>
    <w:basedOn w:val="a"/>
    <w:next w:val="a"/>
    <w:qFormat/>
    <w:pPr>
      <w:widowControl/>
      <w:autoSpaceDE w:val="0"/>
      <w:autoSpaceDN w:val="0"/>
      <w:adjustRightInd w:val="0"/>
      <w:ind w:left="1440" w:hanging="240"/>
      <w:jc w:val="left"/>
    </w:pPr>
    <w:rPr>
      <w:kern w:val="0"/>
      <w:sz w:val="20"/>
    </w:rPr>
  </w:style>
  <w:style w:type="paragraph" w:styleId="a6">
    <w:name w:val="Body Text"/>
    <w:basedOn w:val="a"/>
    <w:qFormat/>
    <w:pPr>
      <w:jc w:val="center"/>
    </w:pPr>
    <w:rPr>
      <w:sz w:val="44"/>
    </w:rPr>
  </w:style>
  <w:style w:type="paragraph" w:styleId="a7">
    <w:name w:val="Body Text Indent"/>
    <w:basedOn w:val="a"/>
    <w:qFormat/>
    <w:pPr>
      <w:ind w:firstLine="360"/>
    </w:pPr>
  </w:style>
  <w:style w:type="paragraph" w:styleId="40">
    <w:name w:val="index 4"/>
    <w:basedOn w:val="a"/>
    <w:next w:val="a"/>
    <w:qFormat/>
    <w:pPr>
      <w:widowControl/>
      <w:autoSpaceDE w:val="0"/>
      <w:autoSpaceDN w:val="0"/>
      <w:adjustRightInd w:val="0"/>
      <w:ind w:left="960" w:hanging="240"/>
      <w:jc w:val="left"/>
    </w:pPr>
    <w:rPr>
      <w:kern w:val="0"/>
      <w:sz w:val="20"/>
    </w:rPr>
  </w:style>
  <w:style w:type="paragraph" w:styleId="51">
    <w:name w:val="toc 5"/>
    <w:basedOn w:val="a"/>
    <w:next w:val="a"/>
    <w:qFormat/>
    <w:pPr>
      <w:ind w:left="840"/>
      <w:jc w:val="left"/>
    </w:pPr>
    <w:rPr>
      <w:rFonts w:ascii="Calibri" w:eastAsia="Calibri" w:hAnsi="Calibri"/>
      <w:sz w:val="18"/>
      <w:szCs w:val="18"/>
    </w:rPr>
  </w:style>
  <w:style w:type="paragraph" w:styleId="30">
    <w:name w:val="toc 3"/>
    <w:basedOn w:val="a"/>
    <w:next w:val="a"/>
    <w:qFormat/>
    <w:pPr>
      <w:ind w:left="420"/>
      <w:jc w:val="left"/>
    </w:pPr>
    <w:rPr>
      <w:rFonts w:ascii="Calibri" w:eastAsia="Calibri" w:hAnsi="Calibri"/>
      <w:i/>
      <w:iCs/>
      <w:sz w:val="20"/>
    </w:rPr>
  </w:style>
  <w:style w:type="paragraph" w:styleId="a8">
    <w:name w:val="Plain Text"/>
    <w:basedOn w:val="a"/>
    <w:qFormat/>
    <w:rPr>
      <w:rFonts w:ascii="宋体" w:eastAsia="仿宋_GB2312" w:hAnsi="宋体"/>
      <w:sz w:val="30"/>
    </w:rPr>
  </w:style>
  <w:style w:type="paragraph" w:styleId="81">
    <w:name w:val="toc 8"/>
    <w:basedOn w:val="a"/>
    <w:next w:val="a"/>
    <w:qFormat/>
    <w:pPr>
      <w:ind w:left="1470"/>
      <w:jc w:val="left"/>
    </w:pPr>
    <w:rPr>
      <w:rFonts w:ascii="Calibri" w:eastAsia="Calibri" w:hAnsi="Calibri"/>
      <w:sz w:val="18"/>
      <w:szCs w:val="18"/>
    </w:rPr>
  </w:style>
  <w:style w:type="paragraph" w:styleId="31">
    <w:name w:val="index 3"/>
    <w:basedOn w:val="a"/>
    <w:next w:val="a"/>
    <w:qFormat/>
    <w:pPr>
      <w:widowControl/>
      <w:autoSpaceDE w:val="0"/>
      <w:autoSpaceDN w:val="0"/>
      <w:adjustRightInd w:val="0"/>
      <w:ind w:left="720" w:hanging="240"/>
      <w:jc w:val="left"/>
    </w:pPr>
    <w:rPr>
      <w:kern w:val="0"/>
      <w:sz w:val="20"/>
    </w:rPr>
  </w:style>
  <w:style w:type="paragraph" w:styleId="a9">
    <w:name w:val="Date"/>
    <w:basedOn w:val="a"/>
    <w:next w:val="a"/>
    <w:qFormat/>
    <w:rPr>
      <w:rFonts w:ascii="仿宋_GB2312" w:eastAsia="仿宋_GB2312"/>
      <w:sz w:val="32"/>
    </w:rPr>
  </w:style>
  <w:style w:type="paragraph" w:styleId="aa">
    <w:name w:val="Balloon Text"/>
    <w:basedOn w:val="a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qFormat/>
    <w:pPr>
      <w:spacing w:before="120" w:after="120"/>
      <w:jc w:val="left"/>
    </w:pPr>
    <w:rPr>
      <w:rFonts w:ascii="Calibri" w:eastAsia="Calibri" w:hAnsi="Calibri"/>
      <w:b/>
      <w:bCs/>
      <w:caps/>
      <w:sz w:val="20"/>
    </w:rPr>
  </w:style>
  <w:style w:type="paragraph" w:styleId="41">
    <w:name w:val="toc 4"/>
    <w:basedOn w:val="a"/>
    <w:next w:val="a"/>
    <w:qFormat/>
    <w:pPr>
      <w:ind w:left="630"/>
      <w:jc w:val="left"/>
    </w:pPr>
    <w:rPr>
      <w:rFonts w:ascii="Calibri" w:eastAsia="Calibri" w:hAnsi="Calibri"/>
      <w:sz w:val="18"/>
      <w:szCs w:val="18"/>
    </w:rPr>
  </w:style>
  <w:style w:type="paragraph" w:styleId="ac">
    <w:name w:val="index heading"/>
    <w:basedOn w:val="a"/>
    <w:next w:val="12"/>
    <w:qFormat/>
    <w:pPr>
      <w:widowControl/>
      <w:autoSpaceDE w:val="0"/>
      <w:autoSpaceDN w:val="0"/>
      <w:adjustRightInd w:val="0"/>
      <w:spacing w:before="120" w:after="120"/>
      <w:jc w:val="left"/>
    </w:pPr>
    <w:rPr>
      <w:b/>
      <w:bCs/>
      <w:i/>
      <w:iCs/>
      <w:kern w:val="0"/>
      <w:sz w:val="20"/>
    </w:rPr>
  </w:style>
  <w:style w:type="paragraph" w:styleId="12">
    <w:name w:val="index 1"/>
    <w:basedOn w:val="a"/>
    <w:next w:val="a"/>
    <w:qFormat/>
    <w:rPr>
      <w:rFonts w:ascii="等线" w:eastAsia="等线"/>
      <w:szCs w:val="21"/>
    </w:rPr>
  </w:style>
  <w:style w:type="paragraph" w:styleId="ad">
    <w:name w:val="footnote text"/>
    <w:basedOn w:val="a"/>
    <w:qFormat/>
    <w:pPr>
      <w:widowControl/>
      <w:autoSpaceDE w:val="0"/>
      <w:autoSpaceDN w:val="0"/>
      <w:adjustRightInd w:val="0"/>
      <w:jc w:val="left"/>
    </w:pPr>
    <w:rPr>
      <w:kern w:val="0"/>
      <w:sz w:val="20"/>
    </w:rPr>
  </w:style>
  <w:style w:type="paragraph" w:styleId="61">
    <w:name w:val="toc 6"/>
    <w:basedOn w:val="a"/>
    <w:next w:val="a"/>
    <w:qFormat/>
    <w:pPr>
      <w:ind w:left="1050"/>
      <w:jc w:val="left"/>
    </w:pPr>
    <w:rPr>
      <w:rFonts w:ascii="Calibri" w:eastAsia="Calibri" w:hAnsi="Calibri"/>
      <w:sz w:val="18"/>
      <w:szCs w:val="18"/>
    </w:rPr>
  </w:style>
  <w:style w:type="paragraph" w:styleId="71">
    <w:name w:val="index 7"/>
    <w:basedOn w:val="a"/>
    <w:next w:val="a"/>
    <w:qFormat/>
    <w:pPr>
      <w:widowControl/>
      <w:autoSpaceDE w:val="0"/>
      <w:autoSpaceDN w:val="0"/>
      <w:adjustRightInd w:val="0"/>
      <w:ind w:left="1680" w:hanging="240"/>
      <w:jc w:val="left"/>
    </w:pPr>
    <w:rPr>
      <w:kern w:val="0"/>
      <w:sz w:val="20"/>
    </w:rPr>
  </w:style>
  <w:style w:type="paragraph" w:styleId="90">
    <w:name w:val="index 9"/>
    <w:basedOn w:val="a"/>
    <w:next w:val="a"/>
    <w:qFormat/>
    <w:pPr>
      <w:widowControl/>
      <w:autoSpaceDE w:val="0"/>
      <w:autoSpaceDN w:val="0"/>
      <w:adjustRightInd w:val="0"/>
      <w:ind w:left="2160" w:hanging="240"/>
      <w:jc w:val="left"/>
    </w:pPr>
    <w:rPr>
      <w:kern w:val="0"/>
      <w:sz w:val="20"/>
    </w:rPr>
  </w:style>
  <w:style w:type="paragraph" w:styleId="20">
    <w:name w:val="toc 2"/>
    <w:basedOn w:val="a"/>
    <w:next w:val="a"/>
    <w:qFormat/>
    <w:pPr>
      <w:ind w:left="210"/>
      <w:jc w:val="left"/>
    </w:pPr>
    <w:rPr>
      <w:rFonts w:ascii="Calibri" w:eastAsia="Calibri" w:hAnsi="Calibri"/>
      <w:smallCaps/>
      <w:sz w:val="20"/>
    </w:rPr>
  </w:style>
  <w:style w:type="paragraph" w:styleId="91">
    <w:name w:val="toc 9"/>
    <w:basedOn w:val="a"/>
    <w:next w:val="a"/>
    <w:qFormat/>
    <w:pPr>
      <w:ind w:left="1680"/>
      <w:jc w:val="left"/>
    </w:pPr>
    <w:rPr>
      <w:rFonts w:ascii="Calibri" w:eastAsia="Calibri" w:hAnsi="Calibri"/>
      <w:sz w:val="18"/>
      <w:szCs w:val="18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1">
    <w:name w:val="index 2"/>
    <w:basedOn w:val="a"/>
    <w:next w:val="a"/>
    <w:qFormat/>
    <w:pPr>
      <w:widowControl/>
      <w:autoSpaceDE w:val="0"/>
      <w:autoSpaceDN w:val="0"/>
      <w:adjustRightInd w:val="0"/>
      <w:ind w:left="480" w:hanging="240"/>
      <w:jc w:val="left"/>
    </w:pPr>
    <w:rPr>
      <w:kern w:val="0"/>
      <w:sz w:val="20"/>
    </w:rPr>
  </w:style>
  <w:style w:type="paragraph" w:styleId="af">
    <w:name w:val="annotation subject"/>
    <w:basedOn w:val="a5"/>
    <w:next w:val="a5"/>
    <w:qFormat/>
    <w:rPr>
      <w:rFonts w:ascii="Calibri" w:hAnsi="Calibri"/>
      <w:b/>
      <w:bCs/>
      <w:szCs w:val="22"/>
    </w:rPr>
  </w:style>
  <w:style w:type="character" w:styleId="af0">
    <w:name w:val="Strong"/>
    <w:qFormat/>
    <w:rPr>
      <w:b/>
      <w:bCs/>
    </w:rPr>
  </w:style>
  <w:style w:type="character" w:styleId="af1">
    <w:name w:val="page number"/>
    <w:basedOn w:val="a1"/>
    <w:qFormat/>
  </w:style>
  <w:style w:type="character" w:styleId="af2">
    <w:name w:val="FollowedHyperlink"/>
    <w:qFormat/>
    <w:rPr>
      <w:rFonts w:ascii="Times New Roman" w:hAnsi="Times New Roman" w:cs="Times New Roman"/>
      <w:color w:val="800080"/>
      <w:u w:val="single"/>
    </w:rPr>
  </w:style>
  <w:style w:type="character" w:styleId="af3">
    <w:name w:val="Hyperlink"/>
    <w:qFormat/>
    <w:rPr>
      <w:color w:val="0563C1"/>
      <w:u w:val="single"/>
    </w:rPr>
  </w:style>
  <w:style w:type="character" w:styleId="af4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宋体" w:eastAsia="宋体" w:cs="宋体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cs="宋体"/>
      <w:color w:val="000000"/>
      <w:sz w:val="32"/>
      <w:szCs w:val="32"/>
      <w:u w:val="none"/>
    </w:rPr>
  </w:style>
  <w:style w:type="character" w:customStyle="1" w:styleId="font31">
    <w:name w:val="font31"/>
    <w:basedOn w:val="a1"/>
    <w:qFormat/>
    <w:rPr>
      <w:rFonts w:ascii="宋体" w:eastAsia="宋体" w:cs="宋体"/>
      <w:color w:val="000000"/>
      <w:sz w:val="32"/>
      <w:szCs w:val="32"/>
      <w:u w:val="single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f5">
    <w:name w:val="List Paragraph"/>
    <w:basedOn w:val="a"/>
    <w:qFormat/>
    <w:pPr>
      <w:ind w:firstLineChars="200" w:firstLine="200"/>
    </w:pPr>
    <w:rPr>
      <w:rFonts w:ascii="Calibri" w:hAnsi="Calibri"/>
      <w:szCs w:val="24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13">
    <w:name w:val="列出段落1"/>
    <w:basedOn w:val="a"/>
    <w:qFormat/>
    <w:pPr>
      <w:ind w:firstLineChars="200" w:firstLine="200"/>
    </w:pPr>
    <w:rPr>
      <w:rFonts w:ascii="Calibri" w:hAnsi="Calibri"/>
      <w:szCs w:val="24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cs="宋体"/>
      <w:color w:val="000000"/>
      <w:kern w:val="0"/>
      <w:sz w:val="32"/>
      <w:szCs w:val="32"/>
    </w:rPr>
  </w:style>
  <w:style w:type="character" w:customStyle="1" w:styleId="fontstyle01">
    <w:name w:val="fontstyle01"/>
    <w:basedOn w:val="a1"/>
    <w:qFormat/>
    <w:rPr>
      <w:rFonts w:ascii="仿宋_GB2312" w:eastAsia="仿宋_GB2312"/>
      <w:color w:val="000000"/>
      <w:sz w:val="32"/>
      <w:szCs w:val="32"/>
    </w:rPr>
  </w:style>
  <w:style w:type="paragraph" w:customStyle="1" w:styleId="42">
    <w:name w:val="样式4"/>
    <w:basedOn w:val="a"/>
    <w:qFormat/>
    <w:pPr>
      <w:spacing w:line="560" w:lineRule="exact"/>
      <w:ind w:firstLineChars="200" w:firstLine="200"/>
    </w:pPr>
    <w:rPr>
      <w:rFonts w:eastAsia="仿宋_GB2312"/>
      <w:b/>
      <w:sz w:val="32"/>
      <w:szCs w:val="24"/>
    </w:rPr>
  </w:style>
  <w:style w:type="paragraph" w:customStyle="1" w:styleId="4cxspmiddle">
    <w:name w:val="4cxspmiddle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10">
    <w:name w:val="标题 21"/>
    <w:basedOn w:val="a"/>
    <w:qFormat/>
    <w:pPr>
      <w:ind w:left="113"/>
      <w:jc w:val="left"/>
      <w:outlineLvl w:val="2"/>
    </w:pPr>
    <w:rPr>
      <w:rFonts w:ascii="宋体"/>
      <w:kern w:val="0"/>
      <w:sz w:val="29"/>
      <w:szCs w:val="29"/>
    </w:rPr>
  </w:style>
  <w:style w:type="character" w:customStyle="1" w:styleId="NormalCharacter">
    <w:name w:val="NormalCharacter"/>
    <w:qFormat/>
  </w:style>
  <w:style w:type="paragraph" w:styleId="af6">
    <w:name w:val="No Spacing"/>
    <w:qFormat/>
    <w:pPr>
      <w:widowControl w:val="0"/>
      <w:jc w:val="both"/>
    </w:pPr>
    <w:rPr>
      <w:rFonts w:ascii="等线" w:eastAsia="等线"/>
      <w:kern w:val="2"/>
      <w:sz w:val="21"/>
      <w:szCs w:val="21"/>
    </w:rPr>
  </w:style>
  <w:style w:type="paragraph" w:customStyle="1" w:styleId="14">
    <w:name w:val="修订1"/>
    <w:qFormat/>
    <w:rPr>
      <w:rFonts w:ascii="宋体" w:cs="宋体"/>
      <w:color w:val="000000"/>
      <w:kern w:val="2"/>
      <w:sz w:val="24"/>
      <w:szCs w:val="24"/>
    </w:rPr>
  </w:style>
  <w:style w:type="paragraph" w:customStyle="1" w:styleId="22">
    <w:name w:val="列出段落2"/>
    <w:basedOn w:val="a"/>
    <w:qFormat/>
    <w:pPr>
      <w:spacing w:beforeLines="50" w:before="50"/>
      <w:ind w:firstLineChars="200" w:firstLine="200"/>
    </w:pPr>
    <w:rPr>
      <w:rFonts w:ascii="宋体" w:cs="宋体"/>
      <w:color w:val="000000"/>
      <w:sz w:val="24"/>
      <w:szCs w:val="24"/>
    </w:rPr>
  </w:style>
  <w:style w:type="paragraph" w:customStyle="1" w:styleId="15">
    <w:name w:val="批注主题1"/>
    <w:basedOn w:val="a5"/>
    <w:next w:val="a5"/>
    <w:qFormat/>
    <w:rPr>
      <w:rFonts w:ascii="等线" w:eastAsia="等线"/>
      <w:b/>
      <w:bCs/>
      <w:szCs w:val="22"/>
    </w:rPr>
  </w:style>
  <w:style w:type="paragraph" w:customStyle="1" w:styleId="af7">
    <w:name w:val="一级标题"/>
    <w:basedOn w:val="a"/>
    <w:qFormat/>
    <w:rPr>
      <w:rFonts w:ascii="黑体" w:eastAsia="黑体"/>
      <w:sz w:val="28"/>
      <w:szCs w:val="22"/>
    </w:rPr>
  </w:style>
  <w:style w:type="paragraph" w:customStyle="1" w:styleId="1">
    <w:name w:val="陈彦涛1"/>
    <w:basedOn w:val="a"/>
    <w:qFormat/>
    <w:pPr>
      <w:widowControl/>
      <w:numPr>
        <w:numId w:val="1"/>
      </w:numPr>
      <w:tabs>
        <w:tab w:val="left" w:pos="391"/>
        <w:tab w:val="left" w:pos="502"/>
      </w:tabs>
      <w:autoSpaceDE w:val="0"/>
      <w:autoSpaceDN w:val="0"/>
      <w:adjustRightInd w:val="0"/>
      <w:spacing w:beforeLines="80" w:before="80" w:line="300" w:lineRule="auto"/>
      <w:jc w:val="left"/>
      <w:outlineLvl w:val="0"/>
    </w:pPr>
    <w:rPr>
      <w:rFonts w:ascii="黑体" w:eastAsia="黑体"/>
      <w:b/>
      <w:kern w:val="0"/>
      <w:sz w:val="32"/>
      <w:szCs w:val="32"/>
    </w:rPr>
  </w:style>
  <w:style w:type="paragraph" w:customStyle="1" w:styleId="af8">
    <w:name w:val="正文内容"/>
    <w:basedOn w:val="a"/>
    <w:qFormat/>
    <w:pPr>
      <w:spacing w:before="100" w:beforeAutospacing="1" w:line="360" w:lineRule="auto"/>
      <w:ind w:firstLineChars="200" w:firstLine="200"/>
    </w:pPr>
    <w:rPr>
      <w:rFonts w:ascii="等线" w:hAnsi="等线"/>
      <w:sz w:val="24"/>
      <w:szCs w:val="24"/>
    </w:rPr>
  </w:style>
  <w:style w:type="paragraph" w:customStyle="1" w:styleId="610">
    <w:name w:val="标题 61"/>
    <w:basedOn w:val="a"/>
    <w:next w:val="a"/>
    <w:qFormat/>
    <w:pPr>
      <w:keepNext/>
      <w:keepLines/>
      <w:widowControl/>
      <w:autoSpaceDE w:val="0"/>
      <w:autoSpaceDN w:val="0"/>
      <w:adjustRightInd w:val="0"/>
      <w:spacing w:before="240" w:after="64" w:line="319" w:lineRule="auto"/>
      <w:jc w:val="left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810">
    <w:name w:val="标题 81"/>
    <w:basedOn w:val="a"/>
    <w:next w:val="a"/>
    <w:qFormat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customStyle="1" w:styleId="910">
    <w:name w:val="标题 91"/>
    <w:basedOn w:val="a"/>
    <w:next w:val="a"/>
    <w:qFormat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paragraph" w:customStyle="1" w:styleId="CharChar2">
    <w:name w:val="Char Char2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CharChar2CharChar">
    <w:name w:val="Char Char2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StyleHeading3Level1-1GB231212ptNotBoldBefore">
    <w:name w:val="Style Heading 3Level 1 - 1 + 仿宋_GB2312 12 pt Not Bold Before:  ..."/>
    <w:basedOn w:val="a"/>
    <w:qFormat/>
    <w:pPr>
      <w:widowControl/>
      <w:tabs>
        <w:tab w:val="left" w:pos="0"/>
      </w:tabs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111">
    <w:name w:val="111"/>
    <w:basedOn w:val="a"/>
    <w:qFormat/>
    <w:pPr>
      <w:widowControl/>
      <w:autoSpaceDE w:val="0"/>
      <w:autoSpaceDN w:val="0"/>
      <w:adjustRightInd w:val="0"/>
      <w:spacing w:beforeLines="80" w:before="80" w:line="300" w:lineRule="auto"/>
      <w:jc w:val="left"/>
      <w:outlineLvl w:val="3"/>
    </w:pPr>
    <w:rPr>
      <w:rFonts w:ascii="华文楷体" w:eastAsia="华文楷体"/>
      <w:kern w:val="0"/>
      <w:sz w:val="24"/>
      <w:szCs w:val="24"/>
    </w:rPr>
  </w:style>
  <w:style w:type="paragraph" w:customStyle="1" w:styleId="af9">
    <w:name w:val="大点"/>
    <w:basedOn w:val="a"/>
    <w:qFormat/>
    <w:pPr>
      <w:widowControl/>
      <w:tabs>
        <w:tab w:val="left" w:pos="1134"/>
      </w:tabs>
      <w:autoSpaceDE w:val="0"/>
      <w:autoSpaceDN w:val="0"/>
      <w:adjustRightInd w:val="0"/>
      <w:spacing w:beforeLines="80" w:before="80" w:line="300" w:lineRule="auto"/>
      <w:ind w:left="1134" w:hanging="567"/>
      <w:jc w:val="left"/>
    </w:pPr>
    <w:rPr>
      <w:rFonts w:ascii="华文楷体" w:eastAsia="华文楷体"/>
      <w:kern w:val="0"/>
      <w:sz w:val="24"/>
      <w:szCs w:val="24"/>
    </w:rPr>
  </w:style>
  <w:style w:type="paragraph" w:customStyle="1" w:styleId="afa">
    <w:name w:val="二级"/>
    <w:basedOn w:val="a"/>
    <w:qFormat/>
    <w:pPr>
      <w:widowControl/>
      <w:tabs>
        <w:tab w:val="left" w:pos="972"/>
      </w:tabs>
      <w:autoSpaceDE w:val="0"/>
      <w:autoSpaceDN w:val="0"/>
      <w:adjustRightInd w:val="0"/>
      <w:spacing w:beforeLines="80" w:before="80" w:line="300" w:lineRule="auto"/>
      <w:ind w:left="971" w:hanging="432"/>
      <w:jc w:val="left"/>
      <w:outlineLvl w:val="1"/>
    </w:pPr>
    <w:rPr>
      <w:rFonts w:ascii="华文楷体" w:eastAsia="华文楷体"/>
      <w:b/>
      <w:kern w:val="0"/>
      <w:sz w:val="28"/>
      <w:szCs w:val="28"/>
    </w:rPr>
  </w:style>
  <w:style w:type="paragraph" w:customStyle="1" w:styleId="afb">
    <w:name w:val="三级"/>
    <w:basedOn w:val="a"/>
    <w:qFormat/>
    <w:pPr>
      <w:widowControl/>
      <w:tabs>
        <w:tab w:val="left" w:pos="1404"/>
      </w:tabs>
      <w:autoSpaceDE w:val="0"/>
      <w:autoSpaceDN w:val="0"/>
      <w:adjustRightInd w:val="0"/>
      <w:spacing w:beforeLines="80" w:before="80" w:line="300" w:lineRule="auto"/>
      <w:ind w:left="1403" w:hanging="1224"/>
      <w:jc w:val="left"/>
      <w:outlineLvl w:val="2"/>
    </w:pPr>
    <w:rPr>
      <w:rFonts w:ascii="华文楷体" w:eastAsia="华文楷体"/>
      <w:b/>
      <w:kern w:val="0"/>
      <w:sz w:val="24"/>
      <w:szCs w:val="24"/>
    </w:rPr>
  </w:style>
  <w:style w:type="paragraph" w:customStyle="1" w:styleId="16">
    <w:name w:val="三级1"/>
    <w:basedOn w:val="a"/>
    <w:qFormat/>
    <w:pPr>
      <w:widowControl/>
      <w:tabs>
        <w:tab w:val="left" w:pos="1404"/>
      </w:tabs>
      <w:autoSpaceDE w:val="0"/>
      <w:autoSpaceDN w:val="0"/>
      <w:adjustRightInd w:val="0"/>
      <w:spacing w:beforeLines="80" w:before="80" w:line="300" w:lineRule="auto"/>
      <w:ind w:left="1403" w:hanging="1224"/>
      <w:jc w:val="left"/>
      <w:outlineLvl w:val="2"/>
    </w:pPr>
    <w:rPr>
      <w:rFonts w:ascii="华文楷体" w:eastAsia="华文楷体"/>
      <w:b/>
      <w:kern w:val="0"/>
      <w:sz w:val="24"/>
      <w:szCs w:val="24"/>
    </w:rPr>
  </w:style>
  <w:style w:type="paragraph" w:customStyle="1" w:styleId="afc">
    <w:name w:val="第二集"/>
    <w:basedOn w:val="a"/>
    <w:qFormat/>
    <w:pPr>
      <w:widowControl/>
      <w:autoSpaceDE w:val="0"/>
      <w:autoSpaceDN w:val="0"/>
      <w:adjustRightInd w:val="0"/>
      <w:spacing w:beforeLines="80" w:before="80" w:line="300" w:lineRule="auto"/>
      <w:jc w:val="left"/>
      <w:outlineLvl w:val="1"/>
    </w:pPr>
    <w:rPr>
      <w:rFonts w:ascii="华文楷体" w:eastAsia="华文楷体"/>
      <w:b/>
      <w:kern w:val="0"/>
      <w:sz w:val="28"/>
      <w:szCs w:val="28"/>
    </w:rPr>
  </w:style>
  <w:style w:type="paragraph" w:customStyle="1" w:styleId="aaa">
    <w:name w:val="aaa"/>
    <w:basedOn w:val="111"/>
    <w:qFormat/>
    <w:pPr>
      <w:tabs>
        <w:tab w:val="left" w:pos="0"/>
      </w:tabs>
    </w:pPr>
  </w:style>
  <w:style w:type="paragraph" w:customStyle="1" w:styleId="bbb">
    <w:name w:val="bbb"/>
    <w:basedOn w:val="a"/>
    <w:qFormat/>
    <w:pPr>
      <w:widowControl/>
      <w:tabs>
        <w:tab w:val="left" w:pos="1224"/>
      </w:tabs>
      <w:autoSpaceDE w:val="0"/>
      <w:autoSpaceDN w:val="0"/>
      <w:adjustRightInd w:val="0"/>
      <w:spacing w:before="80" w:after="80" w:line="300" w:lineRule="auto"/>
      <w:ind w:left="1224" w:hanging="1224"/>
      <w:jc w:val="left"/>
      <w:outlineLvl w:val="2"/>
    </w:pPr>
    <w:rPr>
      <w:rFonts w:ascii="华文楷体" w:eastAsia="华文楷体"/>
      <w:b/>
      <w:kern w:val="0"/>
      <w:sz w:val="24"/>
      <w:szCs w:val="24"/>
    </w:rPr>
  </w:style>
  <w:style w:type="paragraph" w:customStyle="1" w:styleId="54">
    <w:name w:val="54"/>
    <w:basedOn w:val="a"/>
    <w:qFormat/>
    <w:pPr>
      <w:widowControl/>
      <w:tabs>
        <w:tab w:val="left" w:pos="0"/>
      </w:tabs>
      <w:autoSpaceDE w:val="0"/>
      <w:autoSpaceDN w:val="0"/>
      <w:adjustRightInd w:val="0"/>
      <w:spacing w:beforeLines="80" w:before="80" w:line="300" w:lineRule="auto"/>
      <w:jc w:val="left"/>
      <w:outlineLvl w:val="3"/>
    </w:pPr>
    <w:rPr>
      <w:rFonts w:ascii="华文楷体" w:eastAsia="华文楷体"/>
      <w:kern w:val="0"/>
      <w:sz w:val="24"/>
      <w:szCs w:val="24"/>
    </w:rPr>
  </w:style>
  <w:style w:type="paragraph" w:customStyle="1" w:styleId="110">
    <w:name w:val="三级11"/>
    <w:basedOn w:val="a"/>
    <w:qFormat/>
    <w:pPr>
      <w:widowControl/>
      <w:tabs>
        <w:tab w:val="left" w:pos="900"/>
      </w:tabs>
      <w:autoSpaceDE w:val="0"/>
      <w:autoSpaceDN w:val="0"/>
      <w:adjustRightInd w:val="0"/>
      <w:spacing w:beforeLines="80" w:before="80" w:line="300" w:lineRule="auto"/>
      <w:jc w:val="left"/>
      <w:outlineLvl w:val="2"/>
    </w:pPr>
    <w:rPr>
      <w:rFonts w:ascii="黑体" w:eastAsia="黑体"/>
      <w:b/>
      <w:kern w:val="0"/>
      <w:sz w:val="24"/>
      <w:szCs w:val="24"/>
    </w:rPr>
  </w:style>
  <w:style w:type="paragraph" w:customStyle="1" w:styleId="1111">
    <w:name w:val="1111"/>
    <w:basedOn w:val="110"/>
    <w:qFormat/>
  </w:style>
  <w:style w:type="paragraph" w:customStyle="1" w:styleId="www">
    <w:name w:val="www"/>
    <w:basedOn w:val="54"/>
    <w:qFormat/>
    <w:rPr>
      <w:rFonts w:ascii="宋体" w:eastAsia="宋体"/>
      <w:sz w:val="22"/>
      <w:szCs w:val="22"/>
    </w:rPr>
  </w:style>
  <w:style w:type="paragraph" w:customStyle="1" w:styleId="afd">
    <w:name w:val="章标题"/>
    <w:next w:val="a"/>
    <w:qFormat/>
    <w:pPr>
      <w:spacing w:beforeLines="50" w:before="50"/>
      <w:ind w:left="900"/>
      <w:jc w:val="both"/>
      <w:outlineLvl w:val="1"/>
    </w:pPr>
    <w:rPr>
      <w:rFonts w:ascii="黑体" w:eastAsia="黑体"/>
      <w:sz w:val="21"/>
    </w:rPr>
  </w:style>
  <w:style w:type="paragraph" w:customStyle="1" w:styleId="afe">
    <w:name w:val="一级条标题"/>
    <w:next w:val="a"/>
    <w:qFormat/>
    <w:pPr>
      <w:ind w:left="-525"/>
      <w:outlineLvl w:val="2"/>
    </w:pPr>
    <w:rPr>
      <w:rFonts w:eastAsia="黑体"/>
      <w:sz w:val="21"/>
    </w:rPr>
  </w:style>
  <w:style w:type="paragraph" w:customStyle="1" w:styleId="aff">
    <w:name w:val="二级条标题"/>
    <w:basedOn w:val="afe"/>
    <w:next w:val="a"/>
    <w:qFormat/>
    <w:pPr>
      <w:tabs>
        <w:tab w:val="left" w:pos="360"/>
      </w:tabs>
      <w:ind w:left="360" w:hanging="360"/>
      <w:outlineLvl w:val="3"/>
    </w:pPr>
  </w:style>
  <w:style w:type="paragraph" w:customStyle="1" w:styleId="aff0">
    <w:name w:val="实施日期"/>
    <w:basedOn w:val="a"/>
    <w:qFormat/>
    <w:pPr>
      <w:framePr w:w="4000" w:h="473" w:vSpace="180" w:wrap="around" w:hAnchor="margin" w:xAlign="right" w:y="13511" w:anchorLock="1"/>
      <w:widowControl/>
      <w:ind w:left="-525"/>
      <w:jc w:val="right"/>
    </w:pPr>
    <w:rPr>
      <w:rFonts w:eastAsia="黑体"/>
      <w:kern w:val="0"/>
      <w:sz w:val="28"/>
    </w:rPr>
  </w:style>
  <w:style w:type="paragraph" w:customStyle="1" w:styleId="aff1">
    <w:name w:val="三级条标题"/>
    <w:basedOn w:val="aff"/>
    <w:next w:val="a"/>
    <w:qFormat/>
    <w:pPr>
      <w:tabs>
        <w:tab w:val="clear" w:pos="360"/>
        <w:tab w:val="left" w:pos="3600"/>
      </w:tabs>
      <w:ind w:left="3240" w:hanging="1080"/>
      <w:outlineLvl w:val="4"/>
    </w:pPr>
  </w:style>
  <w:style w:type="paragraph" w:customStyle="1" w:styleId="130">
    <w:name w:val="1.3"/>
    <w:basedOn w:val="a8"/>
    <w:qFormat/>
    <w:pPr>
      <w:spacing w:beforeLines="100" w:before="100"/>
      <w:outlineLvl w:val="2"/>
    </w:pPr>
    <w:rPr>
      <w:rFonts w:ascii="黑体" w:eastAsia="黑体" w:cs="宋体"/>
      <w:sz w:val="24"/>
      <w:szCs w:val="24"/>
    </w:rPr>
  </w:style>
  <w:style w:type="paragraph" w:customStyle="1" w:styleId="Style1">
    <w:name w:val="Style1"/>
    <w:basedOn w:val="a8"/>
    <w:qFormat/>
    <w:pPr>
      <w:tabs>
        <w:tab w:val="left" w:pos="720"/>
      </w:tabs>
      <w:spacing w:beforeLines="100" w:before="100"/>
      <w:ind w:left="720" w:hanging="720"/>
      <w:outlineLvl w:val="2"/>
    </w:pPr>
    <w:rPr>
      <w:rFonts w:ascii="黑体" w:eastAsia="黑体" w:cs="宋体"/>
      <w:sz w:val="24"/>
      <w:szCs w:val="24"/>
    </w:rPr>
  </w:style>
  <w:style w:type="paragraph" w:customStyle="1" w:styleId="Style2">
    <w:name w:val="Style2"/>
    <w:basedOn w:val="Style1"/>
    <w:qFormat/>
  </w:style>
  <w:style w:type="paragraph" w:customStyle="1" w:styleId="Style22">
    <w:name w:val="Style22"/>
    <w:basedOn w:val="a8"/>
    <w:qFormat/>
    <w:pPr>
      <w:tabs>
        <w:tab w:val="left" w:pos="720"/>
      </w:tabs>
      <w:spacing w:beforeLines="100" w:before="100"/>
      <w:ind w:left="720" w:hanging="720"/>
      <w:outlineLvl w:val="2"/>
    </w:pPr>
    <w:rPr>
      <w:rFonts w:ascii="黑体" w:eastAsia="黑体" w:cs="宋体"/>
      <w:sz w:val="24"/>
      <w:szCs w:val="24"/>
    </w:rPr>
  </w:style>
  <w:style w:type="paragraph" w:customStyle="1" w:styleId="220">
    <w:name w:val="22"/>
    <w:basedOn w:val="130"/>
    <w:qFormat/>
    <w:pPr>
      <w:tabs>
        <w:tab w:val="left" w:pos="720"/>
      </w:tabs>
      <w:ind w:left="720" w:hanging="720"/>
    </w:pPr>
  </w:style>
  <w:style w:type="paragraph" w:customStyle="1" w:styleId="Style4">
    <w:name w:val="Style4"/>
    <w:basedOn w:val="Style22"/>
    <w:qFormat/>
  </w:style>
  <w:style w:type="paragraph" w:customStyle="1" w:styleId="Style6">
    <w:name w:val="Style6"/>
    <w:basedOn w:val="Style4"/>
    <w:qFormat/>
  </w:style>
  <w:style w:type="paragraph" w:customStyle="1" w:styleId="23">
    <w:name w:val="陈彦涛2"/>
    <w:basedOn w:val="afc"/>
    <w:qFormat/>
    <w:pPr>
      <w:tabs>
        <w:tab w:val="left" w:pos="540"/>
        <w:tab w:val="left" w:pos="972"/>
      </w:tabs>
      <w:ind w:left="971" w:hanging="432"/>
    </w:pPr>
    <w:rPr>
      <w:rFonts w:ascii="宋体" w:hAnsi="宋体"/>
      <w:szCs w:val="21"/>
    </w:rPr>
  </w:style>
  <w:style w:type="paragraph" w:customStyle="1" w:styleId="32">
    <w:name w:val="陈彦涛3"/>
    <w:basedOn w:val="a"/>
    <w:qFormat/>
    <w:pPr>
      <w:widowControl/>
      <w:tabs>
        <w:tab w:val="left" w:pos="900"/>
        <w:tab w:val="left" w:pos="1404"/>
      </w:tabs>
      <w:autoSpaceDE w:val="0"/>
      <w:autoSpaceDN w:val="0"/>
      <w:adjustRightInd w:val="0"/>
      <w:spacing w:beforeLines="80" w:before="80" w:line="300" w:lineRule="auto"/>
      <w:ind w:left="1403" w:hanging="1224"/>
      <w:jc w:val="left"/>
      <w:outlineLvl w:val="2"/>
    </w:pPr>
    <w:rPr>
      <w:rFonts w:ascii="宋体"/>
      <w:kern w:val="0"/>
      <w:szCs w:val="21"/>
    </w:rPr>
  </w:style>
  <w:style w:type="paragraph" w:customStyle="1" w:styleId="aff2">
    <w:name w:val="附录表标题"/>
    <w:next w:val="a"/>
    <w:qFormat/>
    <w:pPr>
      <w:tabs>
        <w:tab w:val="left" w:pos="3360"/>
      </w:tabs>
      <w:ind w:left="3000"/>
      <w:jc w:val="center"/>
    </w:pPr>
    <w:rPr>
      <w:rFonts w:ascii="黑体" w:eastAsia="黑体"/>
      <w:kern w:val="21"/>
      <w:sz w:val="21"/>
    </w:rPr>
  </w:style>
  <w:style w:type="paragraph" w:customStyle="1" w:styleId="aff3">
    <w:name w:val="附录一级条标题"/>
    <w:basedOn w:val="a"/>
    <w:next w:val="a"/>
    <w:qFormat/>
    <w:pPr>
      <w:widowControl/>
      <w:wordWrap w:val="0"/>
      <w:overflowPunct w:val="0"/>
      <w:autoSpaceDE w:val="0"/>
      <w:autoSpaceDN w:val="0"/>
      <w:ind w:left="-525"/>
      <w:outlineLvl w:val="2"/>
    </w:pPr>
    <w:rPr>
      <w:rFonts w:ascii="黑体" w:eastAsia="黑体"/>
      <w:kern w:val="21"/>
    </w:rPr>
  </w:style>
  <w:style w:type="paragraph" w:customStyle="1" w:styleId="aff4">
    <w:name w:val="附录二级条标题"/>
    <w:basedOn w:val="aff3"/>
    <w:next w:val="a"/>
    <w:qFormat/>
    <w:pPr>
      <w:outlineLvl w:val="3"/>
    </w:pPr>
  </w:style>
  <w:style w:type="paragraph" w:customStyle="1" w:styleId="aff5">
    <w:name w:val="附录三级条标题"/>
    <w:basedOn w:val="aff4"/>
    <w:next w:val="a"/>
    <w:qFormat/>
    <w:pPr>
      <w:outlineLvl w:val="4"/>
    </w:pPr>
  </w:style>
  <w:style w:type="paragraph" w:customStyle="1" w:styleId="aff6">
    <w:name w:val="附录四级条标题"/>
    <w:basedOn w:val="aff5"/>
    <w:next w:val="a"/>
    <w:qFormat/>
    <w:pPr>
      <w:outlineLvl w:val="5"/>
    </w:pPr>
  </w:style>
  <w:style w:type="paragraph" w:customStyle="1" w:styleId="aff7">
    <w:name w:val="附录图标题"/>
    <w:next w:val="a"/>
    <w:qFormat/>
    <w:pPr>
      <w:tabs>
        <w:tab w:val="left" w:pos="780"/>
      </w:tabs>
      <w:ind w:left="420"/>
      <w:jc w:val="center"/>
    </w:pPr>
    <w:rPr>
      <w:rFonts w:ascii="黑体" w:eastAsia="黑体"/>
      <w:sz w:val="21"/>
    </w:rPr>
  </w:style>
  <w:style w:type="paragraph" w:customStyle="1" w:styleId="43">
    <w:name w:val="手册大纲4"/>
    <w:basedOn w:val="a"/>
    <w:qFormat/>
    <w:pPr>
      <w:spacing w:line="600" w:lineRule="auto"/>
    </w:pPr>
    <w:rPr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CharChar2CharCharCharCharCharChar">
    <w:name w:val="Char Char2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IDSChar">
    <w:name w:val="IDS 正文 Char"/>
    <w:basedOn w:val="a"/>
    <w:qFormat/>
    <w:pPr>
      <w:spacing w:after="120" w:line="360" w:lineRule="auto"/>
      <w:ind w:rightChars="100" w:right="100" w:firstLine="540"/>
      <w:jc w:val="left"/>
    </w:pPr>
    <w:rPr>
      <w:rFonts w:ascii="楷体_GB2312" w:eastAsia="楷体_GB2312" w:cs="Arial"/>
      <w:bCs/>
      <w:sz w:val="24"/>
      <w:szCs w:val="21"/>
    </w:rPr>
  </w:style>
  <w:style w:type="paragraph" w:customStyle="1" w:styleId="17">
    <w:name w:val="手册大纲1"/>
    <w:basedOn w:val="a"/>
    <w:qFormat/>
    <w:rPr>
      <w:b/>
      <w:sz w:val="32"/>
      <w:szCs w:val="32"/>
    </w:rPr>
  </w:style>
  <w:style w:type="paragraph" w:customStyle="1" w:styleId="24">
    <w:name w:val="手册大纲2"/>
    <w:basedOn w:val="a"/>
    <w:qFormat/>
    <w:pPr>
      <w:spacing w:line="480" w:lineRule="auto"/>
    </w:pPr>
    <w:rPr>
      <w:sz w:val="28"/>
      <w:szCs w:val="28"/>
    </w:rPr>
  </w:style>
  <w:style w:type="paragraph" w:customStyle="1" w:styleId="CNPC-">
    <w:name w:val="CNPC规范-正文"/>
    <w:basedOn w:val="a"/>
    <w:qFormat/>
    <w:pPr>
      <w:widowControl/>
      <w:autoSpaceDE w:val="0"/>
      <w:autoSpaceDN w:val="0"/>
      <w:spacing w:line="288" w:lineRule="auto"/>
      <w:ind w:firstLineChars="200" w:firstLine="200"/>
    </w:pPr>
    <w:rPr>
      <w:rFonts w:ascii="宋体" w:cs="宋体"/>
      <w:kern w:val="0"/>
    </w:rPr>
  </w:style>
  <w:style w:type="paragraph" w:customStyle="1" w:styleId="aff8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NPC-2">
    <w:name w:val="CNPC规范-2级目录"/>
    <w:basedOn w:val="a"/>
    <w:qFormat/>
    <w:pPr>
      <w:spacing w:before="156" w:after="156" w:line="288" w:lineRule="auto"/>
      <w:outlineLvl w:val="1"/>
    </w:pPr>
    <w:rPr>
      <w:rFonts w:cs="宋体"/>
      <w:b/>
      <w:bCs/>
      <w:sz w:val="28"/>
    </w:rPr>
  </w:style>
  <w:style w:type="paragraph" w:customStyle="1" w:styleId="CNPC-3">
    <w:name w:val="CNPC规范-3级目录"/>
    <w:basedOn w:val="CNPC-"/>
    <w:qFormat/>
    <w:pPr>
      <w:spacing w:beforeLines="50" w:before="50"/>
      <w:ind w:firstLineChars="0" w:firstLine="0"/>
      <w:outlineLvl w:val="2"/>
    </w:pPr>
  </w:style>
  <w:style w:type="paragraph" w:customStyle="1" w:styleId="CNPC-1">
    <w:name w:val="CNPC规范-1级目录"/>
    <w:basedOn w:val="a"/>
    <w:qFormat/>
    <w:pPr>
      <w:widowControl/>
      <w:shd w:val="clear" w:color="auto" w:fill="FFFFFF"/>
      <w:spacing w:beforeLines="100" w:before="100" w:line="288" w:lineRule="auto"/>
      <w:jc w:val="left"/>
      <w:outlineLvl w:val="0"/>
    </w:pPr>
    <w:rPr>
      <w:rFonts w:ascii="黑体" w:eastAsia="黑体" w:cs="宋体"/>
      <w:kern w:val="0"/>
      <w:sz w:val="30"/>
    </w:rPr>
  </w:style>
  <w:style w:type="paragraph" w:customStyle="1" w:styleId="CharCharCharCharCharCharCharChar">
    <w:name w:val="Char Char Char Char Char Char Char 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CharCharCharCharChar1CharCharCharChar">
    <w:name w:val="Char Char Char Char Char1 Char Char Char Char"/>
    <w:basedOn w:val="a"/>
    <w:qFormat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MLPChapter">
    <w:name w:val="MLP Chapter"/>
    <w:basedOn w:val="10"/>
    <w:next w:val="a"/>
    <w:qFormat/>
    <w:pPr>
      <w:keepLines w:val="0"/>
      <w:widowControl/>
      <w:tabs>
        <w:tab w:val="left" w:pos="425"/>
      </w:tabs>
      <w:spacing w:before="0" w:after="0" w:line="480" w:lineRule="auto"/>
      <w:ind w:left="425" w:hanging="425"/>
      <w:jc w:val="left"/>
    </w:pPr>
    <w:rPr>
      <w:rFonts w:ascii="Arial" w:hAnsi="Arial"/>
      <w:kern w:val="0"/>
      <w:sz w:val="24"/>
      <w:szCs w:val="20"/>
    </w:rPr>
  </w:style>
  <w:style w:type="paragraph" w:customStyle="1" w:styleId="z-1">
    <w:name w:val="z-窗体底端1"/>
    <w:basedOn w:val="a"/>
    <w:next w:val="a"/>
    <w:qFormat/>
    <w:pPr>
      <w:widowControl/>
      <w:pBdr>
        <w:top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z-10">
    <w:name w:val="z-窗体顶端1"/>
    <w:basedOn w:val="a"/>
    <w:next w:val="a"/>
    <w:qFormat/>
    <w:pPr>
      <w:widowControl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CharChar10">
    <w:name w:val="Char Char10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</w:rPr>
  </w:style>
  <w:style w:type="paragraph" w:customStyle="1" w:styleId="18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  <w:style w:type="paragraph" w:customStyle="1" w:styleId="0">
    <w:name w:val="0级标题"/>
    <w:basedOn w:val="10"/>
    <w:qFormat/>
    <w:pPr>
      <w:numPr>
        <w:numId w:val="2"/>
      </w:numPr>
      <w:spacing w:before="0" w:after="0" w:line="440" w:lineRule="exact"/>
    </w:pPr>
    <w:rPr>
      <w:rFonts w:ascii="Times New Roman" w:hAnsi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19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">
    <w:name w:val="Char Char Char"/>
    <w:basedOn w:val="a"/>
    <w:qFormat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paragraph" w:customStyle="1" w:styleId="112">
    <w:name w:val="列出段落11"/>
    <w:basedOn w:val="a"/>
    <w:qFormat/>
    <w:pPr>
      <w:ind w:firstLineChars="200" w:firstLine="200"/>
    </w:pPr>
    <w:rPr>
      <w:rFonts w:ascii="Calibri" w:hAnsi="Calibri"/>
      <w:szCs w:val="22"/>
    </w:rPr>
  </w:style>
  <w:style w:type="paragraph" w:customStyle="1" w:styleId="25">
    <w:name w:val="样式2"/>
    <w:basedOn w:val="2"/>
    <w:qFormat/>
    <w:pPr>
      <w:keepNext w:val="0"/>
      <w:keepLines w:val="0"/>
      <w:spacing w:beforeLines="100" w:before="100" w:after="0" w:line="360" w:lineRule="auto"/>
      <w:jc w:val="center"/>
    </w:pPr>
    <w:rPr>
      <w:rFonts w:ascii="Calibri" w:eastAsia="仿宋" w:hAnsi="Calibri"/>
      <w:bCs w:val="0"/>
      <w:szCs w:val="22"/>
    </w:rPr>
  </w:style>
  <w:style w:type="paragraph" w:customStyle="1" w:styleId="1a">
    <w:name w:val="样式1"/>
    <w:basedOn w:val="a"/>
    <w:qFormat/>
    <w:pPr>
      <w:widowControl/>
      <w:shd w:val="clear" w:color="auto" w:fill="FFFFFF"/>
      <w:spacing w:beforeLines="100" w:before="100" w:line="360" w:lineRule="auto"/>
      <w:jc w:val="center"/>
      <w:outlineLvl w:val="0"/>
    </w:pPr>
    <w:rPr>
      <w:rFonts w:eastAsia="仿宋" w:cs="Helvetica"/>
      <w:b/>
      <w:color w:val="000000"/>
      <w:kern w:val="0"/>
      <w:sz w:val="36"/>
      <w:szCs w:val="21"/>
    </w:rPr>
  </w:style>
  <w:style w:type="paragraph" w:customStyle="1" w:styleId="TOC1">
    <w:name w:val="TOC 标题1"/>
    <w:basedOn w:val="10"/>
    <w:next w:val="a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6">
    <w:name w:val="无间隔2"/>
    <w:next w:val="af6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3">
    <w:name w:val="列出段落3"/>
    <w:basedOn w:val="a"/>
    <w:next w:val="af5"/>
    <w:qFormat/>
    <w:pPr>
      <w:widowControl/>
      <w:spacing w:beforeLines="50" w:before="50" w:after="200" w:line="276" w:lineRule="auto"/>
      <w:ind w:firstLineChars="200" w:firstLine="200"/>
      <w:jc w:val="left"/>
    </w:pPr>
    <w:rPr>
      <w:rFonts w:ascii="宋体" w:cs="宋体"/>
      <w:color w:val="000000"/>
      <w:kern w:val="0"/>
      <w:sz w:val="22"/>
      <w:szCs w:val="24"/>
      <w:lang w:bidi="en-US"/>
    </w:rPr>
  </w:style>
  <w:style w:type="character" w:customStyle="1" w:styleId="EmailStyle911">
    <w:name w:val="EmailStyle911"/>
    <w:qFormat/>
    <w:rPr>
      <w:rFonts w:ascii="Arial" w:eastAsia="宋体" w:hAnsi="Arial" w:cs="Arial"/>
      <w:color w:val="auto"/>
      <w:sz w:val="20"/>
    </w:rPr>
  </w:style>
  <w:style w:type="character" w:customStyle="1" w:styleId="fontstyle21">
    <w:name w:val="fontstyle21"/>
    <w:qFormat/>
    <w:rPr>
      <w:rFonts w:ascii="仿宋_GB2312" w:eastAsia="仿宋_GB2312"/>
      <w:color w:val="000000"/>
      <w:sz w:val="28"/>
      <w:szCs w:val="28"/>
    </w:rPr>
  </w:style>
  <w:style w:type="character" w:customStyle="1" w:styleId="CharChar7">
    <w:name w:val="Char Char7"/>
    <w:basedOn w:val="a1"/>
    <w:qFormat/>
    <w:rPr>
      <w:rFonts w:ascii="Times New Roman" w:hAnsi="Times New Roman" w:cs="Times New Roman"/>
    </w:rPr>
  </w:style>
  <w:style w:type="character" w:customStyle="1" w:styleId="1b">
    <w:name w:val="占位符文本1"/>
    <w:basedOn w:val="a1"/>
    <w:qFormat/>
    <w:rPr>
      <w:color w:val="808080"/>
    </w:rPr>
  </w:style>
  <w:style w:type="character" w:customStyle="1" w:styleId="6Char1">
    <w:name w:val="标题 6 Char1"/>
    <w:basedOn w:val="a1"/>
    <w:qFormat/>
    <w:rPr>
      <w:rFonts w:ascii="等线 Light" w:eastAsia="等线 Light" w:cs="Times New Roman"/>
      <w:b/>
      <w:bCs/>
      <w:kern w:val="2"/>
      <w:sz w:val="24"/>
      <w:szCs w:val="24"/>
    </w:rPr>
  </w:style>
  <w:style w:type="character" w:customStyle="1" w:styleId="8Char1">
    <w:name w:val="标题 8 Char1"/>
    <w:basedOn w:val="a1"/>
    <w:qFormat/>
    <w:rPr>
      <w:rFonts w:ascii="等线 Light" w:eastAsia="等线 Light" w:cs="Times New Roman"/>
      <w:kern w:val="2"/>
      <w:sz w:val="24"/>
      <w:szCs w:val="24"/>
    </w:rPr>
  </w:style>
  <w:style w:type="character" w:customStyle="1" w:styleId="9Char1">
    <w:name w:val="标题 9 Char1"/>
    <w:basedOn w:val="a1"/>
    <w:qFormat/>
    <w:rPr>
      <w:rFonts w:ascii="等线 Light" w:eastAsia="等线 Light" w:cs="Times New Roman"/>
      <w:kern w:val="2"/>
      <w:sz w:val="21"/>
      <w:szCs w:val="21"/>
    </w:rPr>
  </w:style>
  <w:style w:type="character" w:customStyle="1" w:styleId="1c">
    <w:name w:val="批注主题 字符1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ca-41">
    <w:name w:val="ca-41"/>
    <w:qFormat/>
    <w:rPr>
      <w:rFonts w:ascii="仿宋_GB2312" w:eastAsia="仿宋_GB2312"/>
      <w:sz w:val="32"/>
      <w:szCs w:val="32"/>
    </w:rPr>
  </w:style>
  <w:style w:type="character" w:customStyle="1" w:styleId="HeiTi">
    <w:name w:val="Hei Ti"/>
    <w:qFormat/>
    <w:rPr>
      <w:rFonts w:ascii="黑体" w:eastAsia="黑体" w:cs="黑体"/>
      <w:sz w:val="32"/>
    </w:rPr>
  </w:style>
  <w:style w:type="character" w:customStyle="1" w:styleId="HeiTiBold">
    <w:name w:val="Hei Ti Bold"/>
    <w:qFormat/>
    <w:rPr>
      <w:rFonts w:ascii="黑体" w:eastAsia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cs="方正小标宋简体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311</Words>
  <Characters>1773</Characters>
  <Application>Microsoft Office Word</Application>
  <DocSecurity>0</DocSecurity>
  <Lines>14</Lines>
  <Paragraphs>4</Paragraphs>
  <ScaleCrop>false</ScaleCrop>
  <Company>china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4</cp:revision>
  <cp:lastPrinted>2024-06-17T17:25:00Z</cp:lastPrinted>
  <dcterms:created xsi:type="dcterms:W3CDTF">2009-09-24T14:02:00Z</dcterms:created>
  <dcterms:modified xsi:type="dcterms:W3CDTF">2025-03-12T08:21:00Z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